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6"/>
        </w:rPr>
        <w:t>BRAIN4SALES</w:t>
      </w:r>
    </w:p>
    <w:p>
      <w:pPr>
        <w:jc w:val="center"/>
      </w:pPr>
      <w:r>
        <w:rPr>
          <w:b/>
          <w:color w:val="17365D"/>
          <w:sz w:val="38"/>
        </w:rPr>
        <w:t>ОТЧЁТ О РЕАЛИЗАЦИИ ПЛАНА УСТРАНЕНИЯ ОШИБОК ОСВ</w:t>
      </w:r>
    </w:p>
    <w:p>
      <w:pPr>
        <w:jc w:val="center"/>
      </w:pPr>
      <w:r>
        <w:rPr>
          <w:i/>
        </w:rPr>
        <w:t>МУП КГХ · 1 полугодие 2026 года</w:t>
      </w:r>
    </w:p>
    <w:p>
      <w:pPr>
        <w:pStyle w:val="Heading1"/>
      </w:pPr>
      <w:r>
        <w:t>1. Результат</w:t>
      </w:r>
    </w:p>
    <w:p>
      <w:r>
        <w:t>План устранения ошибок реализован. В систему добавлен отдельный тип источника — полный контрольный снимок ОСВ по всем счетам. Контрольный снимок участвует в расчёте как единая подтверждённая ревизия и имеет приоритет над устаревшими отдельными ОСВ того же периода.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F5597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493"/>
            <w:shd w:fill="2F5597"/>
          </w:tcPr>
          <w:p>
            <w:r>
              <w:rPr>
                <w:b/>
                <w:color w:val="FFFFFF"/>
                <w:sz w:val="18"/>
              </w:rPr>
              <w:t>До исправления</w:t>
            </w:r>
          </w:p>
        </w:tc>
        <w:tc>
          <w:tcPr>
            <w:tcW w:type="dxa" w:w="2493"/>
            <w:shd w:fill="2F5597"/>
          </w:tcPr>
          <w:p>
            <w:r>
              <w:rPr>
                <w:b/>
                <w:color w:val="FFFFFF"/>
                <w:sz w:val="18"/>
              </w:rPr>
              <w:t>После исправления</w:t>
            </w:r>
          </w:p>
        </w:tc>
        <w:tc>
          <w:tcPr>
            <w:tcW w:type="dxa" w:w="2493"/>
            <w:shd w:fill="2F5597"/>
          </w:tcPr>
          <w:p>
            <w:r>
              <w:rPr>
                <w:b/>
                <w:color w:val="FFFFFF"/>
                <w:sz w:val="18"/>
              </w:rPr>
              <w:t>Контрольная ОСВ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Денежные средства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1 954 600,71 ₽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1 954 600,71 ₽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1 954 600,71 ₽</w:t>
            </w:r>
          </w:p>
        </w:tc>
      </w:tr>
      <w:tr>
        <w:tc>
          <w:tcPr>
            <w:tcW w:type="dxa" w:w="2493"/>
            <w:shd w:fill="EAF0F8"/>
          </w:tcPr>
          <w:p>
            <w:r>
              <w:rPr>
                <w:sz w:val="18"/>
              </w:rPr>
              <w:t>Выручка без НДС</w:t>
            </w:r>
          </w:p>
        </w:tc>
        <w:tc>
          <w:tcPr>
            <w:tcW w:type="dxa" w:w="2493"/>
            <w:shd w:fill="EAF0F8"/>
          </w:tcPr>
          <w:p>
            <w:r>
              <w:rPr>
                <w:sz w:val="18"/>
              </w:rPr>
              <w:t>418 611 756,49 ₽</w:t>
            </w:r>
          </w:p>
        </w:tc>
        <w:tc>
          <w:tcPr>
            <w:tcW w:type="dxa" w:w="2493"/>
            <w:shd w:fill="EAF0F8"/>
          </w:tcPr>
          <w:p>
            <w:r>
              <w:rPr>
                <w:sz w:val="18"/>
              </w:rPr>
              <w:t>418 611 756,49 ₽</w:t>
            </w:r>
          </w:p>
        </w:tc>
        <w:tc>
          <w:tcPr>
            <w:tcW w:type="dxa" w:w="2493"/>
            <w:shd w:fill="EAF0F8"/>
          </w:tcPr>
          <w:p>
            <w:r>
              <w:rPr>
                <w:sz w:val="18"/>
              </w:rPr>
              <w:t>418 611 756,49 ₽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Собираемость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71,82%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71,82%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71,82%</w:t>
            </w:r>
          </w:p>
        </w:tc>
      </w:tr>
      <w:tr>
        <w:tc>
          <w:tcPr>
            <w:tcW w:type="dxa" w:w="2493"/>
            <w:shd w:fill="EAF0F8"/>
          </w:tcPr>
          <w:p>
            <w:r>
              <w:rPr>
                <w:sz w:val="18"/>
              </w:rPr>
              <w:t>ДЗ потребителей 62.01</w:t>
            </w:r>
          </w:p>
        </w:tc>
        <w:tc>
          <w:tcPr>
            <w:tcW w:type="dxa" w:w="2493"/>
            <w:shd w:fill="EAF0F8"/>
          </w:tcPr>
          <w:p>
            <w:r>
              <w:rPr>
                <w:sz w:val="18"/>
              </w:rPr>
              <w:t>437 405 275,57 ₽</w:t>
            </w:r>
          </w:p>
        </w:tc>
        <w:tc>
          <w:tcPr>
            <w:tcW w:type="dxa" w:w="2493"/>
            <w:shd w:fill="EAF0F8"/>
          </w:tcPr>
          <w:p>
            <w:r>
              <w:rPr>
                <w:sz w:val="18"/>
              </w:rPr>
              <w:t>437 405 275,57 ₽</w:t>
            </w:r>
          </w:p>
        </w:tc>
        <w:tc>
          <w:tcPr>
            <w:tcW w:type="dxa" w:w="2493"/>
            <w:shd w:fill="EAF0F8"/>
          </w:tcPr>
          <w:p>
            <w:r>
              <w:rPr>
                <w:sz w:val="18"/>
              </w:rPr>
              <w:t>437 405 275,57 ₽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Авансы потребителей 62.02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53 124 872,00 ₽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53 124 872,00 ₽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53 124 872,00 ₽</w:t>
            </w:r>
          </w:p>
        </w:tc>
      </w:tr>
      <w:tr>
        <w:tc>
          <w:tcPr>
            <w:tcW w:type="dxa" w:w="2493"/>
            <w:shd w:fill="EAF0F8"/>
          </w:tcPr>
          <w:p>
            <w:r>
              <w:rPr>
                <w:sz w:val="18"/>
              </w:rPr>
              <w:t>КЗ поставщикам 60.01</w:t>
            </w:r>
          </w:p>
        </w:tc>
        <w:tc>
          <w:tcPr>
            <w:tcW w:type="dxa" w:w="2493"/>
            <w:shd w:fill="EAF0F8"/>
          </w:tcPr>
          <w:p>
            <w:r>
              <w:rPr>
                <w:sz w:val="18"/>
              </w:rPr>
              <w:t>392 339 162,24 ₽</w:t>
            </w:r>
          </w:p>
        </w:tc>
        <w:tc>
          <w:tcPr>
            <w:tcW w:type="dxa" w:w="2493"/>
            <w:shd w:fill="EAF0F8"/>
          </w:tcPr>
          <w:p>
            <w:r>
              <w:rPr>
                <w:sz w:val="18"/>
              </w:rPr>
              <w:t>392 339 162,24 ₽</w:t>
            </w:r>
          </w:p>
        </w:tc>
        <w:tc>
          <w:tcPr>
            <w:tcW w:type="dxa" w:w="2493"/>
            <w:shd w:fill="EAF0F8"/>
          </w:tcPr>
          <w:p>
            <w:r>
              <w:rPr>
                <w:sz w:val="18"/>
              </w:rPr>
              <w:t>392 339 162,24 ₽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Себестоимость 90.02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494 453 141,09 ₽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494 453 141,09 ₽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494 453 141,09 ₽</w:t>
            </w:r>
          </w:p>
        </w:tc>
      </w:tr>
      <w:tr>
        <w:tc>
          <w:tcPr>
            <w:tcW w:type="dxa" w:w="2493"/>
            <w:shd w:fill="EAF0F8"/>
          </w:tcPr>
          <w:p>
            <w:r>
              <w:rPr>
                <w:sz w:val="18"/>
              </w:rPr>
              <w:t>Прибыль</w:t>
            </w:r>
          </w:p>
        </w:tc>
        <w:tc>
          <w:tcPr>
            <w:tcW w:type="dxa" w:w="2493"/>
            <w:shd w:fill="EAF0F8"/>
          </w:tcPr>
          <w:p>
            <w:r>
              <w:rPr>
                <w:sz w:val="18"/>
              </w:rPr>
              <w:t>−75 841 384,60 ₽ (валовая)</w:t>
            </w:r>
          </w:p>
        </w:tc>
        <w:tc>
          <w:tcPr>
            <w:tcW w:type="dxa" w:w="2493"/>
            <w:shd w:fill="EAF0F8"/>
          </w:tcPr>
          <w:p>
            <w:r>
              <w:rPr>
                <w:sz w:val="18"/>
              </w:rPr>
              <w:t>−139 649 730,99 ₽ (от продаж)</w:t>
            </w:r>
          </w:p>
        </w:tc>
        <w:tc>
          <w:tcPr>
            <w:tcW w:type="dxa" w:w="2493"/>
            <w:shd w:fill="EAF0F8"/>
          </w:tcPr>
          <w:p>
            <w:r>
              <w:rPr>
                <w:sz w:val="18"/>
              </w:rPr>
              <w:t>−139 649 730,99 ₽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Кредиты и займы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 ₽, неполный охват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 ₽, полный охват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 ₽</w:t>
            </w:r>
          </w:p>
        </w:tc>
      </w:tr>
      <w:tr>
        <w:tc>
          <w:tcPr>
            <w:tcW w:type="dxa" w:w="2493"/>
            <w:shd w:fill="EAF0F8"/>
          </w:tcPr>
          <w:p>
            <w:r>
              <w:rPr>
                <w:sz w:val="18"/>
              </w:rPr>
              <w:t>Расчёты по оплате труда</w:t>
            </w:r>
          </w:p>
        </w:tc>
        <w:tc>
          <w:tcPr>
            <w:tcW w:type="dxa" w:w="2493"/>
            <w:shd w:fill="EAF0F8"/>
          </w:tcPr>
          <w:p>
            <w:r>
              <w:rPr>
                <w:sz w:val="18"/>
              </w:rPr>
              <w:t>21 021 429,72 ₽</w:t>
            </w:r>
          </w:p>
        </w:tc>
        <w:tc>
          <w:tcPr>
            <w:tcW w:type="dxa" w:w="2493"/>
            <w:shd w:fill="EAF0F8"/>
          </w:tcPr>
          <w:p>
            <w:r>
              <w:rPr>
                <w:sz w:val="18"/>
              </w:rPr>
              <w:t>21 021 429,72 ₽</w:t>
            </w:r>
          </w:p>
        </w:tc>
        <w:tc>
          <w:tcPr>
            <w:tcW w:type="dxa" w:w="2493"/>
            <w:shd w:fill="EAF0F8"/>
          </w:tcPr>
          <w:p>
            <w:r>
              <w:rPr>
                <w:sz w:val="18"/>
              </w:rPr>
              <w:t>21 021 429,72 ₽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Капвложения 08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138 320 807,50 ₽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122 644 969,44 ₽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122 644 969,44 ₽</w:t>
            </w:r>
          </w:p>
        </w:tc>
      </w:tr>
    </w:tbl>
    <w:p/>
    <w:p>
      <w:pPr>
        <w:pStyle w:val="Heading1"/>
      </w:pPr>
      <w:r>
        <w:t>2. Исправленные вложенные показатели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F5597"/>
          </w:tcPr>
          <w:p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324"/>
            <w:shd w:fill="2F5597"/>
          </w:tcPr>
          <w:p>
            <w:r>
              <w:rPr>
                <w:b/>
                <w:color w:val="FFFFFF"/>
                <w:sz w:val="18"/>
              </w:rPr>
              <w:t>До</w:t>
            </w:r>
          </w:p>
        </w:tc>
        <w:tc>
          <w:tcPr>
            <w:tcW w:type="dxa" w:w="3324"/>
            <w:shd w:fill="2F5597"/>
          </w:tcPr>
          <w:p>
            <w:r>
              <w:rPr>
                <w:b/>
                <w:color w:val="FFFFFF"/>
                <w:sz w:val="18"/>
              </w:rPr>
              <w:t>После / контроль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Кредитовый оборот 60.01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543 967 891,07 ₽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611 964 238,16 ₽</w:t>
            </w:r>
          </w:p>
        </w:tc>
      </w:tr>
      <w:tr>
        <w:tc>
          <w:tcPr>
            <w:tcW w:type="dxa" w:w="3324"/>
            <w:shd w:fill="EAF0F8"/>
          </w:tcPr>
          <w:p>
            <w:r>
              <w:rPr>
                <w:sz w:val="18"/>
              </w:rPr>
              <w:t>Дебетовый оборот 70</w:t>
            </w:r>
          </w:p>
        </w:tc>
        <w:tc>
          <w:tcPr>
            <w:tcW w:type="dxa" w:w="3324"/>
            <w:shd w:fill="EAF0F8"/>
          </w:tcPr>
          <w:p>
            <w:r>
              <w:rPr>
                <w:sz w:val="18"/>
              </w:rPr>
              <w:t>169 775 428,41 ₽</w:t>
            </w:r>
          </w:p>
        </w:tc>
        <w:tc>
          <w:tcPr>
            <w:tcW w:type="dxa" w:w="3324"/>
            <w:shd w:fill="EAF0F8"/>
          </w:tcPr>
          <w:p>
            <w:r>
              <w:rPr>
                <w:sz w:val="18"/>
              </w:rPr>
              <w:t>175 061 628,58 ₽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Кредитовый оборот 70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148 606 920,96 ₽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184 556 144,31 ₽</w:t>
            </w:r>
          </w:p>
        </w:tc>
      </w:tr>
      <w:tr>
        <w:tc>
          <w:tcPr>
            <w:tcW w:type="dxa" w:w="3324"/>
            <w:shd w:fill="EAF0F8"/>
          </w:tcPr>
          <w:p>
            <w:r>
              <w:rPr>
                <w:sz w:val="18"/>
              </w:rPr>
              <w:t>Кредитовое сальдо 69</w:t>
            </w:r>
          </w:p>
        </w:tc>
        <w:tc>
          <w:tcPr>
            <w:tcW w:type="dxa" w:w="3324"/>
            <w:shd w:fill="EAF0F8"/>
          </w:tcPr>
          <w:p>
            <w:r>
              <w:rPr>
                <w:sz w:val="18"/>
              </w:rPr>
              <w:t>ошибочно: дебет 15 402,33 ₽</w:t>
            </w:r>
          </w:p>
        </w:tc>
        <w:tc>
          <w:tcPr>
            <w:tcW w:type="dxa" w:w="3324"/>
            <w:shd w:fill="EAF0F8"/>
          </w:tcPr>
          <w:p>
            <w:r>
              <w:rPr>
                <w:sz w:val="18"/>
              </w:rPr>
              <w:t>кредит 11 176 101,24 ₽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Кредитовый оборот 69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51 903 059,41 ₽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63 094 562,98 ₽</w:t>
            </w:r>
          </w:p>
        </w:tc>
      </w:tr>
      <w:tr>
        <w:tc>
          <w:tcPr>
            <w:tcW w:type="dxa" w:w="3324"/>
            <w:shd w:fill="EAF0F8"/>
          </w:tcPr>
          <w:p>
            <w:r>
              <w:rPr>
                <w:sz w:val="18"/>
              </w:rPr>
              <w:t>Отношение оборотов 69/70</w:t>
            </w:r>
          </w:p>
        </w:tc>
        <w:tc>
          <w:tcPr>
            <w:tcW w:type="dxa" w:w="3324"/>
            <w:shd w:fill="EAF0F8"/>
          </w:tcPr>
          <w:p>
            <w:r>
              <w:rPr>
                <w:sz w:val="18"/>
              </w:rPr>
              <w:t>34,93%</w:t>
            </w:r>
          </w:p>
        </w:tc>
        <w:tc>
          <w:tcPr>
            <w:tcW w:type="dxa" w:w="3324"/>
            <w:shd w:fill="EAF0F8"/>
          </w:tcPr>
          <w:p>
            <w:r>
              <w:rPr>
                <w:sz w:val="18"/>
              </w:rPr>
              <w:t>34,19%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Расходы 90.08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51 023 213,48 ₽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63 808 346,39 ₽</w:t>
            </w:r>
          </w:p>
        </w:tc>
      </w:tr>
      <w:tr>
        <w:tc>
          <w:tcPr>
            <w:tcW w:type="dxa" w:w="3324"/>
            <w:shd w:fill="EAF0F8"/>
          </w:tcPr>
          <w:p>
            <w:r>
              <w:rPr>
                <w:sz w:val="18"/>
              </w:rPr>
              <w:t>Оборот счёта 20</w:t>
            </w:r>
          </w:p>
        </w:tc>
        <w:tc>
          <w:tcPr>
            <w:tcW w:type="dxa" w:w="3324"/>
            <w:shd w:fill="EAF0F8"/>
          </w:tcPr>
          <w:p>
            <w:r>
              <w:rPr>
                <w:sz w:val="18"/>
              </w:rPr>
              <w:t>786 096 100,44 ₽</w:t>
            </w:r>
          </w:p>
        </w:tc>
        <w:tc>
          <w:tcPr>
            <w:tcW w:type="dxa" w:w="3324"/>
            <w:shd w:fill="EAF0F8"/>
          </w:tcPr>
          <w:p>
            <w:r>
              <w:rPr>
                <w:sz w:val="18"/>
              </w:rPr>
              <w:t>505 774 189,71 ₽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Оборот счёта 25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54 798 497,59 ₽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67 871 065,11 ₽</w:t>
            </w:r>
          </w:p>
        </w:tc>
      </w:tr>
      <w:tr>
        <w:tc>
          <w:tcPr>
            <w:tcW w:type="dxa" w:w="3324"/>
            <w:shd w:fill="EAF0F8"/>
          </w:tcPr>
          <w:p>
            <w:r>
              <w:rPr>
                <w:sz w:val="18"/>
              </w:rPr>
              <w:t>Оборот счёта 26</w:t>
            </w:r>
          </w:p>
        </w:tc>
        <w:tc>
          <w:tcPr>
            <w:tcW w:type="dxa" w:w="3324"/>
            <w:shd w:fill="EAF0F8"/>
          </w:tcPr>
          <w:p>
            <w:r>
              <w:rPr>
                <w:sz w:val="18"/>
              </w:rPr>
              <w:t>52 697 899,13 ₽</w:t>
            </w:r>
          </w:p>
        </w:tc>
        <w:tc>
          <w:tcPr>
            <w:tcW w:type="dxa" w:w="3324"/>
            <w:shd w:fill="EAF0F8"/>
          </w:tcPr>
          <w:p>
            <w:r>
              <w:rPr>
                <w:sz w:val="18"/>
              </w:rPr>
              <w:t>63 808 346,39 ₽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Обороты 08 по дебету/кредиту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138 320 807,50 / 137 965 127,50 ₽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122 644 969,44 / 122 644 969,44 ₽</w:t>
            </w:r>
          </w:p>
        </w:tc>
      </w:tr>
    </w:tbl>
    <w:p/>
    <w:p>
      <w:pPr>
        <w:pStyle w:val="Heading1"/>
      </w:pPr>
      <w:r>
        <w:t>3. Реализованные изменения</w:t>
      </w:r>
    </w:p>
    <w:p>
      <w:pPr>
        <w:pStyle w:val="ListBullet"/>
      </w:pPr>
      <w:r>
        <w:t>Добавлен специализированный парсер полной сводной ОСВ форматов XLS/XLSX.</w:t>
      </w:r>
    </w:p>
    <w:p>
      <w:pPr>
        <w:pStyle w:val="ListBullet"/>
      </w:pPr>
      <w:r>
        <w:t>Сводный файл разделяется на подтверждённые отчёты по корневым счетам с сохранением субсчетов.</w:t>
      </w:r>
    </w:p>
    <w:p>
      <w:pPr>
        <w:pStyle w:val="ListBullet"/>
      </w:pPr>
      <w:r>
        <w:t>Полным контрольным снимком может стать только файл из доверенного каталога control_snapshots.</w:t>
      </w:r>
    </w:p>
    <w:p>
      <w:pPr>
        <w:pStyle w:val="ListBullet"/>
      </w:pPr>
      <w:r>
        <w:t>Перед признанием снимка полным проверяется общий итог: начальные сальдо, обороты и конечные сальдо должны сходиться по дебету и кредиту до 1 копейки.</w:t>
      </w:r>
    </w:p>
    <w:p>
      <w:pPr>
        <w:pStyle w:val="ListBullet"/>
      </w:pPr>
      <w:r>
        <w:t>Полный снимок получил приоритет над устаревшими отдельными отчётами для одинакового периода.</w:t>
      </w:r>
    </w:p>
    <w:p>
      <w:pPr>
        <w:pStyle w:val="ListBullet"/>
      </w:pPr>
      <w:r>
        <w:t>Обороты, начальные и конечные сальдо теперь используют единый механизм приоритета источников.</w:t>
      </w:r>
    </w:p>
    <w:p>
      <w:pPr>
        <w:pStyle w:val="ListBullet"/>
      </w:pPr>
      <w:r>
        <w:t>Для счёта 70 точный контрольный снимок выбирается раньше промежуточного дневного восстановления.</w:t>
      </w:r>
    </w:p>
    <w:p>
      <w:pPr>
        <w:pStyle w:val="ListBullet"/>
      </w:pPr>
      <w:r>
        <w:t>Отсутствующий счёт или субсчёт считается нулём только внутри подтверждённого полного снимка; в частичной ОСВ отсутствие остаётся неизвестным.</w:t>
      </w:r>
    </w:p>
    <w:p>
      <w:pPr>
        <w:pStyle w:val="ListBullet"/>
      </w:pPr>
      <w:r>
        <w:t>Исключено повторное суммирование родительской строки и дочерних строк для счетов 20, 25, 26 и 44.</w:t>
      </w:r>
    </w:p>
    <w:p>
      <w:pPr>
        <w:pStyle w:val="ListBullet"/>
      </w:pPr>
      <w:r>
        <w:t>Прибыль от продаж рассчитывается с учётом 90.08 и подтверждённого нулевого 90.07.</w:t>
      </w:r>
    </w:p>
    <w:p>
      <w:pPr>
        <w:pStyle w:val="ListBullet"/>
      </w:pPr>
      <w:r>
        <w:t>Контрольный XLS МУП КГХ зарегистрирован как отдельный снимок предприятия.</w:t>
      </w:r>
    </w:p>
    <w:p>
      <w:pPr>
        <w:pStyle w:val="Heading1"/>
      </w:pPr>
      <w:r>
        <w:t>4. Защита от повторения ошибок</w:t>
      </w:r>
    </w:p>
    <w:p>
      <w:pPr>
        <w:pStyle w:val="ListBullet"/>
      </w:pPr>
      <w:r>
        <w:t>Байтовые источники не заменяются: контрольный снимок хранится отдельно от обычных загрузок.</w:t>
      </w:r>
    </w:p>
    <w:p>
      <w:pPr>
        <w:pStyle w:val="ListBullet"/>
      </w:pPr>
      <w:r>
        <w:t>Полнота не определяется только по названию файла: необходимы структура сводной ОСВ и сходящийся общий итог.</w:t>
      </w:r>
    </w:p>
    <w:p>
      <w:pPr>
        <w:pStyle w:val="ListBullet"/>
      </w:pPr>
      <w:r>
        <w:t>Частичный файл не может подтвердить нули по отсутствующим счетам.</w:t>
      </w:r>
    </w:p>
    <w:p>
      <w:pPr>
        <w:pStyle w:val="ListBullet"/>
      </w:pPr>
      <w:r>
        <w:t>Баланс и обороты одной метрики подчиняются одинаковому приоритету ревизий.</w:t>
      </w:r>
    </w:p>
    <w:p>
      <w:pPr>
        <w:pStyle w:val="ListBullet"/>
      </w:pPr>
      <w:r>
        <w:t>Устаревшая ОСВ с точным периодом не вытесняет подтверждённый полный снимок.</w:t>
      </w:r>
    </w:p>
    <w:p>
      <w:pPr>
        <w:pStyle w:val="ListBullet"/>
      </w:pPr>
      <w:r>
        <w:t>Тест смешанных ревизий проверяет, что более поздний частичный файл не меняет баланс контрольного снимка.</w:t>
      </w:r>
    </w:p>
    <w:p>
      <w:pPr>
        <w:pStyle w:val="ListBullet"/>
      </w:pPr>
      <w:r>
        <w:t>Отдельный тест счёта 70 защищает от преждевременного промежуточного пересчёта.</w:t>
      </w:r>
    </w:p>
    <w:p>
      <w:pPr>
        <w:pStyle w:val="ListBullet"/>
      </w:pPr>
      <w:r>
        <w:t>Эталонный тест сверяет все основные карточки и ключевую детализацию с контрольным XLS до копейки.</w:t>
      </w:r>
    </w:p>
    <w:p>
      <w:pPr>
        <w:pStyle w:val="ListBullet"/>
      </w:pPr>
      <w:r>
        <w:t>Согласованная формула ДЗ закреплена тестом: основная ДЗ включает только 62.01, а счёт 76 остаётся отдельной аналитикой.</w:t>
      </w:r>
    </w:p>
    <w:p>
      <w:pPr>
        <w:pStyle w:val="Heading1"/>
      </w:pPr>
      <w:r>
        <w:t>5. Результаты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F5597"/>
          </w:tcPr>
          <w:p>
            <w:r>
              <w:rPr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4986"/>
            <w:shd w:fill="2F5597"/>
          </w:tcPr>
          <w:p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Backend: показатели, загрузка ОСВ, манифест источников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180 тестов — успешно</w:t>
            </w:r>
          </w:p>
        </w:tc>
      </w:tr>
      <w:tr>
        <w:tc>
          <w:tcPr>
            <w:tcW w:type="dxa" w:w="4986"/>
            <w:shd w:fill="EAF0F8"/>
          </w:tcPr>
          <w:p>
            <w:r>
              <w:rPr>
                <w:sz w:val="18"/>
              </w:rPr>
              <w:t>Frontend: синтаксис key_indicators.js</w:t>
            </w:r>
          </w:p>
        </w:tc>
        <w:tc>
          <w:tcPr>
            <w:tcW w:type="dxa" w:w="4986"/>
            <w:shd w:fill="EAF0F8"/>
          </w:tcPr>
          <w:p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Frontend: модальные окна, null/zero, очистка состояния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4986"/>
            <w:shd w:fill="EAF0F8"/>
          </w:tcPr>
          <w:p>
            <w:r>
              <w:rPr>
                <w:sz w:val="18"/>
              </w:rPr>
              <w:t>Python compile</w:t>
            </w:r>
          </w:p>
        </w:tc>
        <w:tc>
          <w:tcPr>
            <w:tcW w:type="dxa" w:w="4986"/>
            <w:shd w:fill="EAF0F8"/>
          </w:tcPr>
          <w:p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git diff --check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4986"/>
            <w:shd w:fill="EAF0F8"/>
          </w:tcPr>
          <w:p>
            <w:r>
              <w:rPr>
                <w:sz w:val="18"/>
              </w:rPr>
              <w:t>Фактическая сверка МУП КГХ</w:t>
            </w:r>
          </w:p>
        </w:tc>
        <w:tc>
          <w:tcPr>
            <w:tcW w:type="dxa" w:w="4986"/>
            <w:shd w:fill="EAF0F8"/>
          </w:tcPr>
          <w:p>
            <w:r>
              <w:rPr>
                <w:sz w:val="18"/>
              </w:rPr>
              <w:t>Все контрольные значения совпали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Архитектурное ревью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Критические замечания устранены</w:t>
            </w:r>
          </w:p>
        </w:tc>
      </w:tr>
    </w:tbl>
    <w:p/>
    <w:p>
      <w:pPr>
        <w:pStyle w:val="Heading1"/>
      </w:pPr>
      <w:r>
        <w:t>6. Изменённые компоненты</w:t>
      </w:r>
    </w:p>
    <w:p>
      <w:pPr>
        <w:pStyle w:val="ListBullet"/>
      </w:pPr>
      <w:r>
        <w:t>consolidated_osv.py — разбор полного контрольного снимка;</w:t>
      </w:r>
    </w:p>
    <w:p>
      <w:pPr>
        <w:pStyle w:val="ListBullet"/>
      </w:pPr>
      <w:r>
        <w:t>key_indicators_service.py — обнаружение, доверие и подключение контрольных снимков;</w:t>
      </w:r>
    </w:p>
    <w:p>
      <w:pPr>
        <w:pStyle w:val="ListBullet"/>
      </w:pPr>
      <w:r>
        <w:t>key_indicators.py — единый приоритет ревизий, подтверждённые нули, исправленные обороты и прибыль;</w:t>
      </w:r>
    </w:p>
    <w:p>
      <w:pPr>
        <w:pStyle w:val="ListBullet"/>
      </w:pPr>
      <w:r>
        <w:t>test_consolidated_osv.py — эталонная сверка и тесты смешанных ревизий;</w:t>
      </w:r>
    </w:p>
    <w:p>
      <w:pPr>
        <w:pStyle w:val="ListBullet"/>
      </w:pPr>
      <w:r>
        <w:t>test_key_indicators.py — актуализированное правило ДЗ 62.01 без включения счёта 76;</w:t>
      </w:r>
    </w:p>
    <w:p>
      <w:pPr>
        <w:pStyle w:val="ListBullet"/>
      </w:pPr>
      <w:r>
        <w:t>control_snapshots/3/osv_all_2026_h1_control.xls — контрольный снимок МУП КГХ.</w:t>
      </w:r>
    </w:p>
    <w:p>
      <w:pPr>
        <w:pStyle w:val="Heading1"/>
      </w:pPr>
      <w:r>
        <w:t>7. Заключение</w:t>
      </w:r>
    </w:p>
    <w:p>
      <w:r>
        <w:t>Все выявленные в плане ошибки устранены. Основные показатели МУП КГХ за 1 полугодие 2026 года согласованы с полной контрольной ОСВ. Система различает полный контрольный снимок и частичные отчёты, не смешивает их без приоритета и не создаёт неподтверждённые нули.</w:t>
      </w:r>
    </w:p>
    <w:sectPr w:rsidR="00FC693F" w:rsidRPr="0006063C" w:rsidSect="00034616">
      <w:footerReference w:type="default" r:id="rId9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brain4sales · Отчёт о реализации плана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