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РОЛЕВАЯ МОДЕЛЬ ДОСТУПА (RBAC)</w:t>
      </w:r>
    </w:p>
    <w:p>
      <w:pPr>
        <w:jc w:val="center"/>
      </w:pPr>
      <w:r>
        <w:rPr>
          <w:b/>
          <w:sz w:val="30"/>
        </w:rPr>
        <w:t>для модуля аналитики деятельности ресурсоснабжающих организаций</w:t>
      </w:r>
    </w:p>
    <w:p>
      <w:pPr>
        <w:jc w:val="center"/>
      </w:pPr>
      <w:r>
        <w:rPr>
          <w:sz w:val="26"/>
        </w:rPr>
        <w:t>Министерство энергетики Московской области</w:t>
      </w:r>
    </w:p>
    <w:p/>
    <w:p>
      <w:pPr>
        <w:jc w:val="center"/>
      </w:pPr>
      <w:r>
        <w:rPr>
          <w:i/>
        </w:rPr>
        <w:t>Концепция функциональных ролей, областей видимости данных, согласования KPI и ограничений доступа</w:t>
      </w:r>
    </w:p>
    <w:p/>
    <w:p>
      <w:pPr>
        <w:jc w:val="center"/>
      </w:pPr>
      <w:r>
        <w:rPr>
          <w:color w:val="646464"/>
        </w:rPr>
        <w:t>Версия для обсуждения • 2026</w:t>
      </w:r>
    </w:p>
    <w:p>
      <w:r>
        <w:br w:type="page"/>
      </w:r>
    </w:p>
    <w:p>
      <w:pPr>
        <w:pStyle w:val="Heading1"/>
      </w:pPr>
      <w:r>
        <w:t>1. Назначение документа</w:t>
      </w:r>
    </w:p>
    <w:p>
      <w:r>
        <w:t>Документ описывает рекомендуемую ролевую модель для модуля мониторинга и аналитики деятельности РСО. Модель учитывает организационную иерархию «Министерство → ОМСУ → РСО», обработку ОСВ, будущие источники данных, систему KPI «план / факт», рейтинги, согласование, аудит и временное делегирование полномочий.</w:t>
      </w:r>
    </w:p>
    <w:p>
      <w:r>
        <w:rPr>
          <w:b/>
        </w:rPr>
        <w:t>Основной принцип:</w:t>
      </w:r>
    </w:p>
    <w:p>
      <w:pPr>
        <w:jc w:val="center"/>
      </w:pPr>
      <w:r>
        <w:rPr>
          <w:b/>
          <w:color w:val="2F5597"/>
          <w:sz w:val="24"/>
        </w:rPr>
        <w:t>Права пользователя = роль × область ответственности × состояние объекта</w:t>
      </w:r>
    </w:p>
    <w:p>
      <w:pPr>
        <w:pStyle w:val="Heading1"/>
      </w:pPr>
      <w:r>
        <w:t>2. Текущее состояние и ограничения</w:t>
      </w:r>
    </w:p>
    <w:p>
      <w:pPr>
        <w:pStyle w:val="ListBullet"/>
      </w:pPr>
      <w:r>
        <w:t>В текущей реализации пользователь имеет одну строковую роль: administrator или user.</w:t>
      </w:r>
    </w:p>
    <w:p>
      <w:pPr>
        <w:pStyle w:val="ListBullet"/>
      </w:pPr>
      <w:r>
        <w:t>Администратор получает практически полный доступ, а обычному пользователю назначается доступ к модулям «Аналитика» и/или «Проверка документов».</w:t>
      </w:r>
    </w:p>
    <w:p>
      <w:pPr>
        <w:pStyle w:val="ListBullet"/>
      </w:pPr>
      <w:r>
        <w:t>Нет полноценной привязки пользователя к Министерству, конкретному ОМСУ или РСО.</w:t>
      </w:r>
    </w:p>
    <w:p>
      <w:pPr>
        <w:pStyle w:val="ListBullet"/>
      </w:pPr>
      <w:r>
        <w:t>Нет системного ограничения выборок предприятий, загрузок, документов и рейтингов по территории или организации.</w:t>
      </w:r>
    </w:p>
    <w:p>
      <w:pPr>
        <w:pStyle w:val="ListBullet"/>
      </w:pPr>
      <w:r>
        <w:t>Модульные разрешения отвечают только на вопрос о возможности открыть раздел, но не определяют разрешённые действия над конкретными данными.</w:t>
      </w:r>
    </w:p>
    <w:p>
      <w:pPr>
        <w:pStyle w:val="ListBullet"/>
      </w:pPr>
      <w:r>
        <w:t>Содержательные полномочия и техническое администрирование фактически не разделены.</w:t>
      </w:r>
    </w:p>
    <w:p>
      <w:r>
        <w:t>Вывод: существующая модель подходит для раннего этапа, но недостаточна для промышленной эксплуатации органом государственной власти и подведомственными участниками.</w:t>
      </w:r>
    </w:p>
    <w:p>
      <w:pPr>
        <w:pStyle w:val="Heading1"/>
      </w:pPr>
      <w:r>
        <w:t>3. Принципы целевой модели</w:t>
      </w:r>
    </w:p>
    <w:p>
      <w:r>
        <w:rPr>
          <w:b/>
        </w:rPr>
        <w:t xml:space="preserve">Минимально необходимые права: </w:t>
      </w:r>
      <w:r>
        <w:t>Пользователь получает только те разрешения и данные, которые необходимы для его должностных обязанностей.</w:t>
      </w:r>
    </w:p>
    <w:p>
      <w:r>
        <w:rPr>
          <w:b/>
        </w:rPr>
        <w:t xml:space="preserve">Разделение роли и области доступа: </w:t>
      </w:r>
      <w:r>
        <w:t>Одинаковая роль может действовать на уровне всей области, конкретного ОМСУ, одной РСО или отдельного объекта.</w:t>
      </w:r>
    </w:p>
    <w:p>
      <w:r>
        <w:rPr>
          <w:b/>
        </w:rPr>
        <w:t xml:space="preserve">Запрет по умолчанию: </w:t>
      </w:r>
      <w:r>
        <w:t>Любое незарегистрированное действие или ресурс недоступны, пока разрешение не выдано явно.</w:t>
      </w:r>
    </w:p>
    <w:p>
      <w:r>
        <w:rPr>
          <w:b/>
        </w:rPr>
        <w:t xml:space="preserve">Серверное применение ограничений: </w:t>
      </w:r>
      <w:r>
        <w:t>Фильтрация выполняется до выдачи данных, а не только скрытием элементов интерфейса.</w:t>
      </w:r>
    </w:p>
    <w:p>
      <w:r>
        <w:rPr>
          <w:b/>
        </w:rPr>
        <w:t xml:space="preserve">Разделение обязанностей: </w:t>
      </w:r>
      <w:r>
        <w:t>Автор данных не утверждает собственные изменения окончательно; технический администратор не получает содержательных полномочий автоматически.</w:t>
      </w:r>
    </w:p>
    <w:p>
      <w:r>
        <w:rPr>
          <w:b/>
        </w:rPr>
        <w:t xml:space="preserve">Версионность: </w:t>
      </w:r>
      <w:r>
        <w:t>Принятые ОСВ, KPI, методики и рейтинги не перезаписываются; исправление создаёт новую версию.</w:t>
      </w:r>
    </w:p>
    <w:p>
      <w:r>
        <w:rPr>
          <w:b/>
        </w:rPr>
        <w:t xml:space="preserve">Прослеживаемость: </w:t>
      </w:r>
      <w:r>
        <w:t>Значимые действия фиксируются в неизменяемом журнале аудита.</w:t>
      </w:r>
    </w:p>
    <w:p>
      <w:pPr>
        <w:pStyle w:val="Heading1"/>
      </w:pPr>
      <w:r>
        <w:t>4. Организационная иерархия</w:t>
      </w:r>
    </w:p>
    <w:p>
      <w:pPr>
        <w:pStyle w:val="CodeText"/>
      </w:pPr>
      <w:r>
        <w:t>Министерство энергетики Московской области</w:t>
        <w:br/>
        <w:t>├── ОМСУ 1</w:t>
        <w:br/>
        <w:t>│   ├── РСО 1</w:t>
        <w:br/>
        <w:t>│   ├── РСО 2</w:t>
        <w:br/>
        <w:t>│   └── РСО 3</w:t>
        <w:br/>
        <w:t>├── ОМСУ 2</w:t>
        <w:br/>
        <w:t>│   ├── РСО 4</w:t>
        <w:br/>
        <w:t>│   └── РСО 5</w:t>
        <w:br/>
        <w:t>└── ОМСУ N</w:t>
      </w:r>
    </w:p>
    <w:p>
      <w:r>
        <w:t>Модель должна поддерживать исключения: работа РСО в нескольких муниципалитетах, группы юридических лиц, назначение куратора Министерства на отдельный набор предприятий, временные рабочие группы и несколько ролей у одного пользователя.</w:t>
      </w:r>
    </w:p>
    <w:p>
      <w:pPr>
        <w:pStyle w:val="Heading1"/>
      </w:pPr>
      <w:r>
        <w:t>5. Рекомендуемые роли</w:t>
      </w:r>
    </w:p>
    <w:p>
      <w:pPr>
        <w:pStyle w:val="Heading2"/>
      </w:pPr>
      <w:r>
        <w:t>5.1. Министр энергетики</w:t>
      </w:r>
    </w:p>
    <w:p>
      <w:r>
        <w:rPr>
          <w:b/>
        </w:rPr>
        <w:t xml:space="preserve">Область доступа: </w:t>
      </w:r>
      <w:r>
        <w:t>Вся Московская область, все ОМСУ и РСО.</w:t>
      </w:r>
    </w:p>
    <w:p>
      <w:r>
        <w:rPr>
          <w:b/>
        </w:rPr>
        <w:t>Основные права</w:t>
      </w:r>
    </w:p>
    <w:p>
      <w:pPr>
        <w:pStyle w:val="ListBullet"/>
      </w:pPr>
      <w:r>
        <w:t>Просмотр сводной аналитики, общего рейтинга и KPI «план / факт».</w:t>
      </w:r>
    </w:p>
    <w:p>
      <w:pPr>
        <w:pStyle w:val="ListBullet"/>
      </w:pPr>
      <w:r>
        <w:t>Сравнение территорий и организаций, переход от агрегата к разрешённой детализации.</w:t>
      </w:r>
    </w:p>
    <w:p>
      <w:pPr>
        <w:pStyle w:val="ListBullet"/>
      </w:pPr>
      <w:r>
        <w:t>Просмотр критических сигналов, просрочек и истории согласований.</w:t>
      </w:r>
    </w:p>
    <w:p>
      <w:pPr>
        <w:pStyle w:val="ListBullet"/>
      </w:pPr>
      <w:r>
        <w:t>Утверждение официальных методик, KPI, рейтингов и отчётности в пределах регламента.</w:t>
      </w:r>
    </w:p>
    <w:p>
      <w:pPr>
        <w:pStyle w:val="ListBullet"/>
      </w:pPr>
      <w:r>
        <w:t>Формирование официальных выгрузок и отчётов.</w:t>
      </w:r>
    </w:p>
    <w:p>
      <w:r>
        <w:rPr>
          <w:b/>
        </w:rPr>
        <w:t>Ограничения</w:t>
      </w:r>
    </w:p>
    <w:p>
      <w:pPr>
        <w:pStyle w:val="ListBullet"/>
      </w:pPr>
      <w:r>
        <w:t>Не редактирует первичные ОСВ и обычные черновики.</w:t>
      </w:r>
    </w:p>
    <w:p>
      <w:pPr>
        <w:pStyle w:val="ListBullet"/>
      </w:pPr>
      <w:r>
        <w:t>Не меняет фактические показатели вручную без специальной процедуры.</w:t>
      </w:r>
    </w:p>
    <w:p>
      <w:pPr>
        <w:pStyle w:val="ListBullet"/>
      </w:pPr>
      <w:r>
        <w:t>Не получает функции технического администратора и доступ к секретам.</w:t>
      </w:r>
    </w:p>
    <w:p>
      <w:pPr>
        <w:pStyle w:val="Heading2"/>
      </w:pPr>
      <w:r>
        <w:t>5.2. Сотрудник Министерства</w:t>
      </w:r>
    </w:p>
    <w:p>
      <w:r>
        <w:rPr>
          <w:b/>
        </w:rPr>
        <w:t xml:space="preserve">Область доступа: </w:t>
      </w:r>
      <w:r>
        <w:t>Вся область либо назначенные ОМСУ/РСО.</w:t>
      </w:r>
    </w:p>
    <w:p>
      <w:r>
        <w:rPr>
          <w:b/>
        </w:rPr>
        <w:t>Основные права</w:t>
      </w:r>
    </w:p>
    <w:p>
      <w:pPr>
        <w:pStyle w:val="ListBullet"/>
      </w:pPr>
      <w:r>
        <w:t>Анализ финансовых и операционных показателей.</w:t>
      </w:r>
    </w:p>
    <w:p>
      <w:pPr>
        <w:pStyle w:val="ListBullet"/>
      </w:pPr>
      <w:r>
        <w:t>Проверка полноты и качества данных, запрос разъяснений и возврат на исправление.</w:t>
      </w:r>
    </w:p>
    <w:p>
      <w:pPr>
        <w:pStyle w:val="ListBullet"/>
      </w:pPr>
      <w:r>
        <w:t>Согласование данных в пределах полномочий.</w:t>
      </w:r>
    </w:p>
    <w:p>
      <w:pPr>
        <w:pStyle w:val="ListBullet"/>
      </w:pPr>
      <w:r>
        <w:t>Формирование рабочих отчётов и аналитических выгрузок.</w:t>
      </w:r>
    </w:p>
    <w:p>
      <w:pPr>
        <w:pStyle w:val="ListBullet"/>
      </w:pPr>
      <w:r>
        <w:t>Ведение методики KPI или рейтинга при наличии специального разрешения.</w:t>
      </w:r>
    </w:p>
    <w:p>
      <w:r>
        <w:rPr>
          <w:b/>
        </w:rPr>
        <w:t>Ограничения</w:t>
      </w:r>
    </w:p>
    <w:p>
      <w:pPr>
        <w:pStyle w:val="ListBullet"/>
      </w:pPr>
      <w:r>
        <w:t>Область доступа определяется назначением, а не должностью автоматически.</w:t>
      </w:r>
    </w:p>
    <w:p>
      <w:pPr>
        <w:pStyle w:val="ListBullet"/>
      </w:pPr>
      <w:r>
        <w:t>Создатель методики не публикует её единолично.</w:t>
      </w:r>
    </w:p>
    <w:p>
      <w:pPr>
        <w:pStyle w:val="ListBullet"/>
      </w:pPr>
      <w:r>
        <w:t>Нельзя изменять первичные сведения вместо РСО.</w:t>
      </w:r>
    </w:p>
    <w:p>
      <w:pPr>
        <w:pStyle w:val="Heading2"/>
      </w:pPr>
      <w:r>
        <w:t>5.3. Разработчик Министерства</w:t>
      </w:r>
    </w:p>
    <w:p>
      <w:r>
        <w:rPr>
          <w:b/>
        </w:rPr>
        <w:t xml:space="preserve">Область доступа: </w:t>
      </w:r>
      <w:r>
        <w:t>Техническая область; производственные данные — только по временному назначению.</w:t>
      </w:r>
    </w:p>
    <w:p>
      <w:r>
        <w:rPr>
          <w:b/>
        </w:rPr>
        <w:t>Основные права</w:t>
      </w:r>
    </w:p>
    <w:p>
      <w:pPr>
        <w:pStyle w:val="ListBullet"/>
      </w:pPr>
      <w:r>
        <w:t>Диагностика сервисов, фоновых задач и ошибок обработки.</w:t>
      </w:r>
    </w:p>
    <w:p>
      <w:pPr>
        <w:pStyle w:val="ListBullet"/>
      </w:pPr>
      <w:r>
        <w:t>Работа с техническими журналами и тестовыми данными.</w:t>
      </w:r>
    </w:p>
    <w:p>
      <w:pPr>
        <w:pStyle w:val="ListBullet"/>
      </w:pPr>
      <w:r>
        <w:t>Повторный запуск разрешённых технических процессов.</w:t>
      </w:r>
    </w:p>
    <w:p>
      <w:pPr>
        <w:pStyle w:val="ListBullet"/>
      </w:pPr>
      <w:r>
        <w:t>Сопровождение интеграций, форматов и справочников технического характера.</w:t>
      </w:r>
    </w:p>
    <w:p>
      <w:r>
        <w:rPr>
          <w:b/>
        </w:rPr>
        <w:t>Ограничения</w:t>
      </w:r>
    </w:p>
    <w:p>
      <w:pPr>
        <w:pStyle w:val="ListBullet"/>
      </w:pPr>
      <w:r>
        <w:t>Нет автоматического доступа ко всем ОСВ и персональным данным.</w:t>
      </w:r>
    </w:p>
    <w:p>
      <w:pPr>
        <w:pStyle w:val="ListBullet"/>
      </w:pPr>
      <w:r>
        <w:t>Нет прав утверждать KPI, рейтинг или отчётность.</w:t>
      </w:r>
    </w:p>
    <w:p>
      <w:pPr>
        <w:pStyle w:val="ListBullet"/>
      </w:pPr>
      <w:r>
        <w:t>Нет права назначать себе роли.</w:t>
      </w:r>
    </w:p>
    <w:p>
      <w:pPr>
        <w:pStyle w:val="ListBullet"/>
      </w:pPr>
      <w:r>
        <w:t>Аварийный доступ ограничен сроком, объектом, основанием и аудитом.</w:t>
      </w:r>
    </w:p>
    <w:p>
      <w:pPr>
        <w:pStyle w:val="Heading2"/>
      </w:pPr>
      <w:r>
        <w:t>5.4. Глава ОМСУ</w:t>
      </w:r>
    </w:p>
    <w:p>
      <w:r>
        <w:rPr>
          <w:b/>
        </w:rPr>
        <w:t xml:space="preserve">Область доступа: </w:t>
      </w:r>
      <w:r>
        <w:t>Своё муниципальное образование и связанные РСО.</w:t>
      </w:r>
    </w:p>
    <w:p>
      <w:r>
        <w:rPr>
          <w:b/>
        </w:rPr>
        <w:t>Основные права</w:t>
      </w:r>
    </w:p>
    <w:p>
      <w:pPr>
        <w:pStyle w:val="ListBullet"/>
      </w:pPr>
      <w:r>
        <w:t>Просмотр сводной аналитики и рейтинга РСО своего ОМСУ.</w:t>
      </w:r>
    </w:p>
    <w:p>
      <w:pPr>
        <w:pStyle w:val="ListBullet"/>
      </w:pPr>
      <w:r>
        <w:t>Контроль сроков предоставления данных и исполнения KPI.</w:t>
      </w:r>
    </w:p>
    <w:p>
      <w:pPr>
        <w:pStyle w:val="ListBullet"/>
      </w:pPr>
      <w:r>
        <w:t>Визирование или утверждение муниципальных планов в установленном регламенте.</w:t>
      </w:r>
    </w:p>
    <w:p>
      <w:pPr>
        <w:pStyle w:val="ListBullet"/>
      </w:pPr>
      <w:r>
        <w:t>Формирование отчётности по своему ОМСУ.</w:t>
      </w:r>
    </w:p>
    <w:p>
      <w:pPr>
        <w:pStyle w:val="ListBullet"/>
      </w:pPr>
      <w:r>
        <w:t>Просмотр истории согласований и критических сигналов.</w:t>
      </w:r>
    </w:p>
    <w:p>
      <w:r>
        <w:rPr>
          <w:b/>
        </w:rPr>
        <w:t>Ограничения</w:t>
      </w:r>
    </w:p>
    <w:p>
      <w:pPr>
        <w:pStyle w:val="ListBullet"/>
      </w:pPr>
      <w:r>
        <w:t>Нет доступа к детальным данным других ОМСУ.</w:t>
      </w:r>
    </w:p>
    <w:p>
      <w:pPr>
        <w:pStyle w:val="ListBullet"/>
      </w:pPr>
      <w:r>
        <w:t>Нельзя менять областную методику.</w:t>
      </w:r>
    </w:p>
    <w:p>
      <w:pPr>
        <w:pStyle w:val="ListBullet"/>
      </w:pPr>
      <w:r>
        <w:t>Нельзя исправлять ОСВ за РСО или выполнять техническое администрирование.</w:t>
      </w:r>
    </w:p>
    <w:p>
      <w:pPr>
        <w:pStyle w:val="Heading2"/>
      </w:pPr>
      <w:r>
        <w:t>5.5. Сотрудник ОМСУ</w:t>
      </w:r>
    </w:p>
    <w:p>
      <w:r>
        <w:rPr>
          <w:b/>
        </w:rPr>
        <w:t xml:space="preserve">Область доступа: </w:t>
      </w:r>
      <w:r>
        <w:t>Своё ОМСУ и все либо назначенные РСО внутри него.</w:t>
      </w:r>
    </w:p>
    <w:p>
      <w:r>
        <w:rPr>
          <w:b/>
        </w:rPr>
        <w:t>Основные права</w:t>
      </w:r>
    </w:p>
    <w:p>
      <w:pPr>
        <w:pStyle w:val="ListBullet"/>
      </w:pPr>
      <w:r>
        <w:t>Просмотр аналитики, загрузок, ошибок и замечаний.</w:t>
      </w:r>
    </w:p>
    <w:p>
      <w:pPr>
        <w:pStyle w:val="ListBullet"/>
      </w:pPr>
      <w:r>
        <w:t>Проверка полноты данных, возврат на исправление и первичное согласование.</w:t>
      </w:r>
    </w:p>
    <w:p>
      <w:pPr>
        <w:pStyle w:val="ListBullet"/>
      </w:pPr>
      <w:r>
        <w:t>Ввод разрешённых муниципальных планов KPI.</w:t>
      </w:r>
    </w:p>
    <w:p>
      <w:pPr>
        <w:pStyle w:val="ListBullet"/>
      </w:pPr>
      <w:r>
        <w:t>Контроль исполнения и подготовка рабочих отчётов.</w:t>
      </w:r>
    </w:p>
    <w:p>
      <w:pPr>
        <w:pStyle w:val="ListBullet"/>
      </w:pPr>
      <w:r>
        <w:t>Экспорт данных в пределах своей области.</w:t>
      </w:r>
    </w:p>
    <w:p>
      <w:r>
        <w:rPr>
          <w:b/>
        </w:rPr>
        <w:t>Ограничения</w:t>
      </w:r>
    </w:p>
    <w:p>
      <w:pPr>
        <w:pStyle w:val="ListBullet"/>
      </w:pPr>
      <w:r>
        <w:t>Нет доступа к другим ОМСУ.</w:t>
      </w:r>
    </w:p>
    <w:p>
      <w:pPr>
        <w:pStyle w:val="ListBullet"/>
      </w:pPr>
      <w:r>
        <w:t>Нельзя окончательно утвердить собственное изменение.</w:t>
      </w:r>
    </w:p>
    <w:p>
      <w:pPr>
        <w:pStyle w:val="ListBullet"/>
      </w:pPr>
      <w:r>
        <w:t>Нельзя редактировать факты, рассчитанные из ОСВ.</w:t>
      </w:r>
    </w:p>
    <w:p>
      <w:pPr>
        <w:pStyle w:val="ListBullet"/>
      </w:pPr>
      <w:r>
        <w:t>Нельзя расширять собственную область доступа.</w:t>
      </w:r>
    </w:p>
    <w:p>
      <w:pPr>
        <w:pStyle w:val="Heading2"/>
      </w:pPr>
      <w:r>
        <w:t>5.6. Руководитель РСО</w:t>
      </w:r>
    </w:p>
    <w:p>
      <w:r>
        <w:rPr>
          <w:b/>
        </w:rPr>
        <w:t xml:space="preserve">Область доступа: </w:t>
      </w:r>
      <w:r>
        <w:t>Своя РСО либо явно назначенная группа юридических лиц.</w:t>
      </w:r>
    </w:p>
    <w:p>
      <w:r>
        <w:rPr>
          <w:b/>
        </w:rPr>
        <w:t>Основные права</w:t>
      </w:r>
    </w:p>
    <w:p>
      <w:pPr>
        <w:pStyle w:val="ListBullet"/>
      </w:pPr>
      <w:r>
        <w:t>Просмотр полной аналитики, KPI и причин сигналов своей РСО.</w:t>
      </w:r>
    </w:p>
    <w:p>
      <w:pPr>
        <w:pStyle w:val="ListBullet"/>
      </w:pPr>
      <w:r>
        <w:t>Контроль загрузки ОСВ и документов.</w:t>
      </w:r>
    </w:p>
    <w:p>
      <w:pPr>
        <w:pStyle w:val="ListBullet"/>
      </w:pPr>
      <w:r>
        <w:t>Утверждение отправки данных и планов KPI от РСО.</w:t>
      </w:r>
    </w:p>
    <w:p>
      <w:pPr>
        <w:pStyle w:val="ListBullet"/>
      </w:pPr>
      <w:r>
        <w:t>Ответ на замечания ОМСУ и Министерства.</w:t>
      </w:r>
    </w:p>
    <w:p>
      <w:pPr>
        <w:pStyle w:val="ListBullet"/>
      </w:pPr>
      <w:r>
        <w:t>Назначение разрешённых функций сотрудникам своей РСО.</w:t>
      </w:r>
    </w:p>
    <w:p>
      <w:pPr>
        <w:pStyle w:val="ListBullet"/>
      </w:pPr>
      <w:r>
        <w:t>Просмотр истории действий и выгрузка собственных отчётов.</w:t>
      </w:r>
    </w:p>
    <w:p>
      <w:r>
        <w:rPr>
          <w:b/>
        </w:rPr>
        <w:t>Ограничения</w:t>
      </w:r>
    </w:p>
    <w:p>
      <w:pPr>
        <w:pStyle w:val="ListBullet"/>
      </w:pPr>
      <w:r>
        <w:t>Нет детального доступа к другим РСО без отдельной политики раскрытия.</w:t>
      </w:r>
    </w:p>
    <w:p>
      <w:pPr>
        <w:pStyle w:val="ListBullet"/>
      </w:pPr>
      <w:r>
        <w:t>Нельзя менять методику Министерства.</w:t>
      </w:r>
    </w:p>
    <w:p>
      <w:pPr>
        <w:pStyle w:val="ListBullet"/>
      </w:pPr>
      <w:r>
        <w:t>Нельзя молча заменять принятые данные.</w:t>
      </w:r>
    </w:p>
    <w:p>
      <w:pPr>
        <w:pStyle w:val="ListBullet"/>
      </w:pPr>
      <w:r>
        <w:t>Нельзя назначать роли ОМСУ или Министерства.</w:t>
      </w:r>
    </w:p>
    <w:p>
      <w:pPr>
        <w:pStyle w:val="Heading2"/>
      </w:pPr>
      <w:r>
        <w:t>5.7. Сотрудник РСО</w:t>
      </w:r>
    </w:p>
    <w:p>
      <w:r>
        <w:rPr>
          <w:b/>
        </w:rPr>
        <w:t xml:space="preserve">Область доступа: </w:t>
      </w:r>
      <w:r>
        <w:t>Своя РСО; при необходимости — собственные черновики или назначенные объекты.</w:t>
      </w:r>
    </w:p>
    <w:p>
      <w:r>
        <w:rPr>
          <w:b/>
        </w:rPr>
        <w:t>Основные права</w:t>
      </w:r>
    </w:p>
    <w:p>
      <w:pPr>
        <w:pStyle w:val="ListBullet"/>
      </w:pPr>
      <w:r>
        <w:t>Загрузка ОСВ и подтверждающих документов.</w:t>
      </w:r>
    </w:p>
    <w:p>
      <w:pPr>
        <w:pStyle w:val="ListBullet"/>
      </w:pPr>
      <w:r>
        <w:t>Просмотр результатов обработки и исправление отклонённых пакетов.</w:t>
      </w:r>
    </w:p>
    <w:p>
      <w:pPr>
        <w:pStyle w:val="ListBullet"/>
      </w:pPr>
      <w:r>
        <w:t>Ввод разрешённых плановых и ручных фактических показателей.</w:t>
      </w:r>
    </w:p>
    <w:p>
      <w:pPr>
        <w:pStyle w:val="ListBullet"/>
      </w:pPr>
      <w:r>
        <w:t>Подготовка комментариев к отклонениям и отправка данных руководителю.</w:t>
      </w:r>
    </w:p>
    <w:p>
      <w:pPr>
        <w:pStyle w:val="ListBullet"/>
      </w:pPr>
      <w:r>
        <w:t>Формирование внутренних отчётов по своей РСО.</w:t>
      </w:r>
    </w:p>
    <w:p>
      <w:r>
        <w:rPr>
          <w:b/>
        </w:rPr>
        <w:t>Ограничения</w:t>
      </w:r>
    </w:p>
    <w:p>
      <w:pPr>
        <w:pStyle w:val="ListBullet"/>
      </w:pPr>
      <w:r>
        <w:t>Нет доступа к первичным данным других РСО.</w:t>
      </w:r>
    </w:p>
    <w:p>
      <w:pPr>
        <w:pStyle w:val="ListBullet"/>
      </w:pPr>
      <w:r>
        <w:t>Нельзя окончательно утверждать собственную загрузку.</w:t>
      </w:r>
    </w:p>
    <w:p>
      <w:pPr>
        <w:pStyle w:val="ListBullet"/>
      </w:pPr>
      <w:r>
        <w:t>Нельзя редактировать серверный факт, рассчитанный из ОСВ.</w:t>
      </w:r>
    </w:p>
    <w:p>
      <w:pPr>
        <w:pStyle w:val="ListBullet"/>
      </w:pPr>
      <w:r>
        <w:t>Нельзя менять опубликованную методику или удалять историю.</w:t>
      </w:r>
    </w:p>
    <w:p>
      <w:pPr>
        <w:pStyle w:val="Heading2"/>
      </w:pPr>
      <w:r>
        <w:t>5.8. Системный администратор</w:t>
      </w:r>
    </w:p>
    <w:p>
      <w:r>
        <w:rPr>
          <w:b/>
        </w:rPr>
        <w:t xml:space="preserve">Область доступа: </w:t>
      </w:r>
      <w:r>
        <w:t>Пользователи, назначения, технические настройки; содержательные данные — минимально.</w:t>
      </w:r>
    </w:p>
    <w:p>
      <w:r>
        <w:rPr>
          <w:b/>
        </w:rPr>
        <w:t>Основные права</w:t>
      </w:r>
    </w:p>
    <w:p>
      <w:pPr>
        <w:pStyle w:val="ListBullet"/>
      </w:pPr>
      <w:r>
        <w:t>Создание, блокировка и восстановление пользователей.</w:t>
      </w:r>
    </w:p>
    <w:p>
      <w:pPr>
        <w:pStyle w:val="ListBullet"/>
      </w:pPr>
      <w:r>
        <w:t>Назначение ролей и организационных областей доступа.</w:t>
      </w:r>
    </w:p>
    <w:p>
      <w:pPr>
        <w:pStyle w:val="ListBullet"/>
      </w:pPr>
      <w:r>
        <w:t>Управление сроками полномочий и техническими модулями.</w:t>
      </w:r>
    </w:p>
    <w:p>
      <w:pPr>
        <w:pStyle w:val="ListBullet"/>
      </w:pPr>
      <w:r>
        <w:t>Просмотр технического аудита и служебных справочников.</w:t>
      </w:r>
    </w:p>
    <w:p>
      <w:r>
        <w:rPr>
          <w:b/>
        </w:rPr>
        <w:t>Ограничения</w:t>
      </w:r>
    </w:p>
    <w:p>
      <w:pPr>
        <w:pStyle w:val="ListBullet"/>
      </w:pPr>
      <w:r>
        <w:t>Не утверждает KPI, ОСВ, рейтинг и отчётность автоматически.</w:t>
      </w:r>
    </w:p>
    <w:p>
      <w:pPr>
        <w:pStyle w:val="ListBullet"/>
      </w:pPr>
      <w:r>
        <w:t>Не меняет финансовые значения.</w:t>
      </w:r>
    </w:p>
    <w:p>
      <w:pPr>
        <w:pStyle w:val="ListBullet"/>
      </w:pPr>
      <w:r>
        <w:t>Не действует от имени руководителей организаций.</w:t>
      </w:r>
    </w:p>
    <w:p>
      <w:pPr>
        <w:pStyle w:val="Heading2"/>
      </w:pPr>
      <w:r>
        <w:t>5.9. Аудитор / контролёр</w:t>
      </w:r>
    </w:p>
    <w:p>
      <w:r>
        <w:rPr>
          <w:b/>
        </w:rPr>
        <w:t xml:space="preserve">Область доступа: </w:t>
      </w:r>
      <w:r>
        <w:t>Вся область либо назначенная территория/организация.</w:t>
      </w:r>
    </w:p>
    <w:p>
      <w:r>
        <w:rPr>
          <w:b/>
        </w:rPr>
        <w:t>Основные права</w:t>
      </w:r>
    </w:p>
    <w:p>
      <w:pPr>
        <w:pStyle w:val="ListBullet"/>
      </w:pPr>
      <w:r>
        <w:t>Чтение исходных и расчётных значений.</w:t>
      </w:r>
    </w:p>
    <w:p>
      <w:pPr>
        <w:pStyle w:val="ListBullet"/>
      </w:pPr>
      <w:r>
        <w:t>Просмотр версий, формул, согласований и журнала действий.</w:t>
      </w:r>
    </w:p>
    <w:p>
      <w:pPr>
        <w:pStyle w:val="ListBullet"/>
      </w:pPr>
      <w:r>
        <w:t>Формирование аудиторских выгрузок.</w:t>
      </w:r>
    </w:p>
    <w:p>
      <w:r>
        <w:rPr>
          <w:b/>
        </w:rPr>
        <w:t>Ограничения</w:t>
      </w:r>
    </w:p>
    <w:p>
      <w:pPr>
        <w:pStyle w:val="ListBullet"/>
      </w:pPr>
      <w:r>
        <w:t>Нет прав на загрузку, редактирование, согласование и назначение ролей.</w:t>
      </w:r>
    </w:p>
    <w:p>
      <w:pPr>
        <w:sectPr>
          <w:footerReference w:type="default" r:id="rId9"/>
          <w:pgSz w:w="12240" w:h="15840"/>
          <w:pgMar w:top="1020" w:right="1134" w:bottom="1020" w:left="1134" w:header="720" w:footer="720" w:gutter="0"/>
          <w:cols w:space="720"/>
          <w:docGrid w:linePitch="360"/>
        </w:sectPr>
      </w:pPr>
    </w:p>
    <w:p>
      <w:pPr>
        <w:pStyle w:val="Heading1"/>
      </w:pPr>
      <w:r>
        <w:t>6. Сводная матрица полномочий</w:t>
      </w:r>
    </w:p>
    <w:tbl>
      <w:tblPr>
        <w:tblStyle w:val="TableGrid"/>
        <w:tblW w:type="auto" w:w="0"/>
        <w:jc w:val="center"/>
        <w:tblLook w:firstColumn="1" w:firstRow="1" w:lastColumn="0" w:lastRow="0" w:noHBand="0" w:noVBand="1" w:val="04A0"/>
      </w:tblPr>
      <w:tblGrid>
        <w:gridCol w:w="1810"/>
        <w:gridCol w:w="1810"/>
        <w:gridCol w:w="1810"/>
        <w:gridCol w:w="1810"/>
        <w:gridCol w:w="1810"/>
        <w:gridCol w:w="1810"/>
        <w:gridCol w:w="1810"/>
        <w:gridCol w:w="1810"/>
      </w:tblGrid>
      <w:tr>
        <w:tc>
          <w:tcPr>
            <w:tcW w:type="dxa" w:w="1810"/>
            <w:vAlign w:val="center"/>
            <w:shd w:fill="17365D"/>
          </w:tcPr>
          <w:p>
            <w:r/>
            <w:r>
              <w:rPr>
                <w:rFonts w:ascii="Arial" w:hAnsi="Arial"/>
                <w:b/>
                <w:color w:val="FFFFFF"/>
                <w:sz w:val="16"/>
              </w:rPr>
              <w:t>Функция</w:t>
            </w:r>
          </w:p>
        </w:tc>
        <w:tc>
          <w:tcPr>
            <w:tcW w:type="dxa" w:w="1810"/>
            <w:vAlign w:val="center"/>
            <w:shd w:fill="17365D"/>
          </w:tcPr>
          <w:p>
            <w:r/>
            <w:r>
              <w:rPr>
                <w:rFonts w:ascii="Arial" w:hAnsi="Arial"/>
                <w:b/>
                <w:color w:val="FFFFFF"/>
                <w:sz w:val="16"/>
              </w:rPr>
              <w:t>Министр</w:t>
            </w:r>
          </w:p>
        </w:tc>
        <w:tc>
          <w:tcPr>
            <w:tcW w:type="dxa" w:w="1810"/>
            <w:vAlign w:val="center"/>
            <w:shd w:fill="17365D"/>
          </w:tcPr>
          <w:p>
            <w:r/>
            <w:r>
              <w:rPr>
                <w:rFonts w:ascii="Arial" w:hAnsi="Arial"/>
                <w:b/>
                <w:color w:val="FFFFFF"/>
                <w:sz w:val="16"/>
              </w:rPr>
              <w:t>Мин-во</w:t>
            </w:r>
          </w:p>
        </w:tc>
        <w:tc>
          <w:tcPr>
            <w:tcW w:type="dxa" w:w="1810"/>
            <w:vAlign w:val="center"/>
            <w:shd w:fill="17365D"/>
          </w:tcPr>
          <w:p>
            <w:r/>
            <w:r>
              <w:rPr>
                <w:rFonts w:ascii="Arial" w:hAnsi="Arial"/>
                <w:b/>
                <w:color w:val="FFFFFF"/>
                <w:sz w:val="16"/>
              </w:rPr>
              <w:t>Глава ОМСУ</w:t>
            </w:r>
          </w:p>
        </w:tc>
        <w:tc>
          <w:tcPr>
            <w:tcW w:type="dxa" w:w="1810"/>
            <w:vAlign w:val="center"/>
            <w:shd w:fill="17365D"/>
          </w:tcPr>
          <w:p>
            <w:r/>
            <w:r>
              <w:rPr>
                <w:rFonts w:ascii="Arial" w:hAnsi="Arial"/>
                <w:b/>
                <w:color w:val="FFFFFF"/>
                <w:sz w:val="16"/>
              </w:rPr>
              <w:t>Сотр. ОМСУ</w:t>
            </w:r>
          </w:p>
        </w:tc>
        <w:tc>
          <w:tcPr>
            <w:tcW w:type="dxa" w:w="1810"/>
            <w:vAlign w:val="center"/>
            <w:shd w:fill="17365D"/>
          </w:tcPr>
          <w:p>
            <w:r/>
            <w:r>
              <w:rPr>
                <w:rFonts w:ascii="Arial" w:hAnsi="Arial"/>
                <w:b/>
                <w:color w:val="FFFFFF"/>
                <w:sz w:val="16"/>
              </w:rPr>
              <w:t>Рук. РСО</w:t>
            </w:r>
          </w:p>
        </w:tc>
        <w:tc>
          <w:tcPr>
            <w:tcW w:type="dxa" w:w="1810"/>
            <w:vAlign w:val="center"/>
            <w:shd w:fill="17365D"/>
          </w:tcPr>
          <w:p>
            <w:r/>
            <w:r>
              <w:rPr>
                <w:rFonts w:ascii="Arial" w:hAnsi="Arial"/>
                <w:b/>
                <w:color w:val="FFFFFF"/>
                <w:sz w:val="16"/>
              </w:rPr>
              <w:t>Сотр. РСО</w:t>
            </w:r>
          </w:p>
        </w:tc>
        <w:tc>
          <w:tcPr>
            <w:tcW w:type="dxa" w:w="1810"/>
            <w:vAlign w:val="center"/>
            <w:shd w:fill="17365D"/>
          </w:tcPr>
          <w:p>
            <w:r/>
            <w:r>
              <w:rPr>
                <w:rFonts w:ascii="Arial" w:hAnsi="Arial"/>
                <w:b/>
                <w:color w:val="FFFFFF"/>
                <w:sz w:val="16"/>
              </w:rPr>
              <w:t>Разработчик</w:t>
            </w:r>
          </w:p>
        </w:tc>
      </w:tr>
      <w:tr>
        <w:tc>
          <w:tcPr>
            <w:tcW w:type="dxa" w:w="1810"/>
            <w:vAlign w:val="center"/>
          </w:tcPr>
          <w:p>
            <w:r/>
            <w:r>
              <w:rPr>
                <w:rFonts w:ascii="Arial" w:hAnsi="Arial"/>
                <w:b/>
                <w:sz w:val="16"/>
              </w:rPr>
              <w:t>Сводка по области</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Ограниченно</w:t>
            </w:r>
          </w:p>
        </w:tc>
        <w:tc>
          <w:tcPr>
            <w:tcW w:type="dxa" w:w="1810"/>
            <w:vAlign w:val="center"/>
          </w:tcPr>
          <w:p>
            <w:r/>
            <w:r>
              <w:rPr>
                <w:rFonts w:ascii="Arial" w:hAnsi="Arial"/>
                <w:b w:val="0"/>
                <w:sz w:val="16"/>
              </w:rPr>
              <w:t>Ограниченно</w:t>
            </w:r>
          </w:p>
        </w:tc>
        <w:tc>
          <w:tcPr>
            <w:tcW w:type="dxa" w:w="1810"/>
            <w:vAlign w:val="center"/>
          </w:tcPr>
          <w:p>
            <w:r/>
            <w:r>
              <w:rPr>
                <w:rFonts w:ascii="Arial" w:hAnsi="Arial"/>
                <w:b w:val="0"/>
                <w:sz w:val="16"/>
              </w:rPr>
              <w:t>Своё место</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w:t>
            </w:r>
          </w:p>
        </w:tc>
      </w:tr>
      <w:tr>
        <w:tc>
          <w:tcPr>
            <w:tcW w:type="dxa" w:w="1810"/>
            <w:vAlign w:val="center"/>
            <w:shd w:fill="EAF0F8"/>
          </w:tcPr>
          <w:p>
            <w:r/>
            <w:r>
              <w:rPr>
                <w:rFonts w:ascii="Arial" w:hAnsi="Arial"/>
                <w:b/>
                <w:sz w:val="16"/>
              </w:rPr>
              <w:t>Аналитика РСО</w:t>
            </w:r>
          </w:p>
        </w:tc>
        <w:tc>
          <w:tcPr>
            <w:tcW w:type="dxa" w:w="1810"/>
            <w:vAlign w:val="center"/>
            <w:shd w:fill="EAF0F8"/>
          </w:tcPr>
          <w:p>
            <w:r/>
            <w:r>
              <w:rPr>
                <w:rFonts w:ascii="Arial" w:hAnsi="Arial"/>
                <w:b w:val="0"/>
                <w:sz w:val="16"/>
              </w:rPr>
              <w:t>Все</w:t>
            </w:r>
          </w:p>
        </w:tc>
        <w:tc>
          <w:tcPr>
            <w:tcW w:type="dxa" w:w="1810"/>
            <w:vAlign w:val="center"/>
            <w:shd w:fill="EAF0F8"/>
          </w:tcPr>
          <w:p>
            <w:r/>
            <w:r>
              <w:rPr>
                <w:rFonts w:ascii="Arial" w:hAnsi="Arial"/>
                <w:b w:val="0"/>
                <w:sz w:val="16"/>
              </w:rPr>
              <w:t>По scope</w:t>
            </w:r>
          </w:p>
        </w:tc>
        <w:tc>
          <w:tcPr>
            <w:tcW w:type="dxa" w:w="1810"/>
            <w:vAlign w:val="center"/>
            <w:shd w:fill="EAF0F8"/>
          </w:tcPr>
          <w:p>
            <w:r/>
            <w:r>
              <w:rPr>
                <w:rFonts w:ascii="Arial" w:hAnsi="Arial"/>
                <w:b w:val="0"/>
                <w:sz w:val="16"/>
              </w:rPr>
              <w:t>Своё ОМСУ</w:t>
            </w:r>
          </w:p>
        </w:tc>
        <w:tc>
          <w:tcPr>
            <w:tcW w:type="dxa" w:w="1810"/>
            <w:vAlign w:val="center"/>
            <w:shd w:fill="EAF0F8"/>
          </w:tcPr>
          <w:p>
            <w:r/>
            <w:r>
              <w:rPr>
                <w:rFonts w:ascii="Arial" w:hAnsi="Arial"/>
                <w:b w:val="0"/>
                <w:sz w:val="16"/>
              </w:rPr>
              <w:t>По scope</w:t>
            </w:r>
          </w:p>
        </w:tc>
        <w:tc>
          <w:tcPr>
            <w:tcW w:type="dxa" w:w="1810"/>
            <w:vAlign w:val="center"/>
            <w:shd w:fill="EAF0F8"/>
          </w:tcPr>
          <w:p>
            <w:r/>
            <w:r>
              <w:rPr>
                <w:rFonts w:ascii="Arial" w:hAnsi="Arial"/>
                <w:b w:val="0"/>
                <w:sz w:val="16"/>
              </w:rPr>
              <w:t>Своя РСО</w:t>
            </w:r>
          </w:p>
        </w:tc>
        <w:tc>
          <w:tcPr>
            <w:tcW w:type="dxa" w:w="1810"/>
            <w:vAlign w:val="center"/>
            <w:shd w:fill="EAF0F8"/>
          </w:tcPr>
          <w:p>
            <w:r/>
            <w:r>
              <w:rPr>
                <w:rFonts w:ascii="Arial" w:hAnsi="Arial"/>
                <w:b w:val="0"/>
                <w:sz w:val="16"/>
              </w:rPr>
              <w:t>Своя РСО</w:t>
            </w:r>
          </w:p>
        </w:tc>
        <w:tc>
          <w:tcPr>
            <w:tcW w:type="dxa" w:w="1810"/>
            <w:vAlign w:val="center"/>
            <w:shd w:fill="EAF0F8"/>
          </w:tcPr>
          <w:p>
            <w:r/>
            <w:r>
              <w:rPr>
                <w:rFonts w:ascii="Arial" w:hAnsi="Arial"/>
                <w:b w:val="0"/>
                <w:sz w:val="16"/>
              </w:rPr>
              <w:t>Временно</w:t>
            </w:r>
          </w:p>
        </w:tc>
      </w:tr>
      <w:tr>
        <w:tc>
          <w:tcPr>
            <w:tcW w:type="dxa" w:w="1810"/>
            <w:vAlign w:val="center"/>
          </w:tcPr>
          <w:p>
            <w:r/>
            <w:r>
              <w:rPr>
                <w:rFonts w:ascii="Arial" w:hAnsi="Arial"/>
                <w:b/>
                <w:sz w:val="16"/>
              </w:rPr>
              <w:t>Загрузка ОСВ</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Исключение</w:t>
            </w:r>
          </w:p>
        </w:tc>
        <w:tc>
          <w:tcPr>
            <w:tcW w:type="dxa" w:w="1810"/>
            <w:vAlign w:val="center"/>
          </w:tcPr>
          <w:p>
            <w:r/>
            <w:r>
              <w:rPr>
                <w:rFonts w:ascii="Arial" w:hAnsi="Arial"/>
                <w:b w:val="0"/>
                <w:sz w:val="16"/>
              </w:rPr>
              <w:t>Контроль</w:t>
            </w:r>
          </w:p>
        </w:tc>
        <w:tc>
          <w:tcPr>
            <w:tcW w:type="dxa" w:w="1810"/>
            <w:vAlign w:val="center"/>
          </w:tcPr>
          <w:p>
            <w:r/>
            <w:r>
              <w:rPr>
                <w:rFonts w:ascii="Arial" w:hAnsi="Arial"/>
                <w:b w:val="0"/>
                <w:sz w:val="16"/>
              </w:rPr>
              <w:t>Создание</w:t>
            </w:r>
          </w:p>
        </w:tc>
        <w:tc>
          <w:tcPr>
            <w:tcW w:type="dxa" w:w="1810"/>
            <w:vAlign w:val="center"/>
          </w:tcPr>
          <w:p>
            <w:r/>
            <w:r>
              <w:rPr>
                <w:rFonts w:ascii="Arial" w:hAnsi="Arial"/>
                <w:b w:val="0"/>
                <w:sz w:val="16"/>
              </w:rPr>
              <w:t>—</w:t>
            </w:r>
          </w:p>
        </w:tc>
      </w:tr>
      <w:tr>
        <w:tc>
          <w:tcPr>
            <w:tcW w:type="dxa" w:w="1810"/>
            <w:vAlign w:val="center"/>
            <w:shd w:fill="EAF0F8"/>
          </w:tcPr>
          <w:p>
            <w:r/>
            <w:r>
              <w:rPr>
                <w:rFonts w:ascii="Arial" w:hAnsi="Arial"/>
                <w:b/>
                <w:sz w:val="16"/>
              </w:rPr>
              <w:t>Проверка ОСВ</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Согласование</w:t>
            </w:r>
          </w:p>
        </w:tc>
        <w:tc>
          <w:tcPr>
            <w:tcW w:type="dxa" w:w="1810"/>
            <w:vAlign w:val="center"/>
            <w:shd w:fill="EAF0F8"/>
          </w:tcPr>
          <w:p>
            <w:r/>
            <w:r>
              <w:rPr>
                <w:rFonts w:ascii="Arial" w:hAnsi="Arial"/>
                <w:b w:val="0"/>
                <w:sz w:val="16"/>
              </w:rPr>
              <w:t>Визирование</w:t>
            </w:r>
          </w:p>
        </w:tc>
        <w:tc>
          <w:tcPr>
            <w:tcW w:type="dxa" w:w="1810"/>
            <w:vAlign w:val="center"/>
            <w:shd w:fill="EAF0F8"/>
          </w:tcPr>
          <w:p>
            <w:r/>
            <w:r>
              <w:rPr>
                <w:rFonts w:ascii="Arial" w:hAnsi="Arial"/>
                <w:b w:val="0"/>
                <w:sz w:val="16"/>
              </w:rPr>
              <w:t>Проверка</w:t>
            </w:r>
          </w:p>
        </w:tc>
        <w:tc>
          <w:tcPr>
            <w:tcW w:type="dxa" w:w="1810"/>
            <w:vAlign w:val="center"/>
            <w:shd w:fill="EAF0F8"/>
          </w:tcPr>
          <w:p>
            <w:r/>
            <w:r>
              <w:rPr>
                <w:rFonts w:ascii="Arial" w:hAnsi="Arial"/>
                <w:b w:val="0"/>
                <w:sz w:val="16"/>
              </w:rPr>
              <w:t>Контроль</w:t>
            </w:r>
          </w:p>
        </w:tc>
        <w:tc>
          <w:tcPr>
            <w:tcW w:type="dxa" w:w="1810"/>
            <w:vAlign w:val="center"/>
            <w:shd w:fill="EAF0F8"/>
          </w:tcPr>
          <w:p>
            <w:r/>
            <w:r>
              <w:rPr>
                <w:rFonts w:ascii="Arial" w:hAnsi="Arial"/>
                <w:b w:val="0"/>
                <w:sz w:val="16"/>
              </w:rPr>
              <w:t>Исправление</w:t>
            </w:r>
          </w:p>
        </w:tc>
        <w:tc>
          <w:tcPr>
            <w:tcW w:type="dxa" w:w="1810"/>
            <w:vAlign w:val="center"/>
            <w:shd w:fill="EAF0F8"/>
          </w:tcPr>
          <w:p>
            <w:r/>
            <w:r>
              <w:rPr>
                <w:rFonts w:ascii="Arial" w:hAnsi="Arial"/>
                <w:b w:val="0"/>
                <w:sz w:val="16"/>
              </w:rPr>
              <w:t>Диагностика</w:t>
            </w:r>
          </w:p>
        </w:tc>
      </w:tr>
      <w:tr>
        <w:tc>
          <w:tcPr>
            <w:tcW w:type="dxa" w:w="1810"/>
            <w:vAlign w:val="center"/>
          </w:tcPr>
          <w:p>
            <w:r/>
            <w:r>
              <w:rPr>
                <w:rFonts w:ascii="Arial" w:hAnsi="Arial"/>
                <w:b/>
                <w:sz w:val="16"/>
              </w:rPr>
              <w:t>План KPI</w:t>
            </w:r>
          </w:p>
        </w:tc>
        <w:tc>
          <w:tcPr>
            <w:tcW w:type="dxa" w:w="1810"/>
            <w:vAlign w:val="center"/>
          </w:tcPr>
          <w:p>
            <w:r/>
            <w:r>
              <w:rPr>
                <w:rFonts w:ascii="Arial" w:hAnsi="Arial"/>
                <w:b w:val="0"/>
                <w:sz w:val="16"/>
              </w:rPr>
              <w:t>Утверждение</w:t>
            </w:r>
          </w:p>
        </w:tc>
        <w:tc>
          <w:tcPr>
            <w:tcW w:type="dxa" w:w="1810"/>
            <w:vAlign w:val="center"/>
          </w:tcPr>
          <w:p>
            <w:r/>
            <w:r>
              <w:rPr>
                <w:rFonts w:ascii="Arial" w:hAnsi="Arial"/>
                <w:b w:val="0"/>
                <w:sz w:val="16"/>
              </w:rPr>
              <w:t>Согласование</w:t>
            </w:r>
          </w:p>
        </w:tc>
        <w:tc>
          <w:tcPr>
            <w:tcW w:type="dxa" w:w="1810"/>
            <w:vAlign w:val="center"/>
          </w:tcPr>
          <w:p>
            <w:r/>
            <w:r>
              <w:rPr>
                <w:rFonts w:ascii="Arial" w:hAnsi="Arial"/>
                <w:b w:val="0"/>
                <w:sz w:val="16"/>
              </w:rPr>
              <w:t>Согласование</w:t>
            </w:r>
          </w:p>
        </w:tc>
        <w:tc>
          <w:tcPr>
            <w:tcW w:type="dxa" w:w="1810"/>
            <w:vAlign w:val="center"/>
          </w:tcPr>
          <w:p>
            <w:r/>
            <w:r>
              <w:rPr>
                <w:rFonts w:ascii="Arial" w:hAnsi="Arial"/>
                <w:b w:val="0"/>
                <w:sz w:val="16"/>
              </w:rPr>
              <w:t>Подготовка</w:t>
            </w:r>
          </w:p>
        </w:tc>
        <w:tc>
          <w:tcPr>
            <w:tcW w:type="dxa" w:w="1810"/>
            <w:vAlign w:val="center"/>
          </w:tcPr>
          <w:p>
            <w:r/>
            <w:r>
              <w:rPr>
                <w:rFonts w:ascii="Arial" w:hAnsi="Arial"/>
                <w:b w:val="0"/>
                <w:sz w:val="16"/>
              </w:rPr>
              <w:t>Утверждение РСО</w:t>
            </w:r>
          </w:p>
        </w:tc>
        <w:tc>
          <w:tcPr>
            <w:tcW w:type="dxa" w:w="1810"/>
            <w:vAlign w:val="center"/>
          </w:tcPr>
          <w:p>
            <w:r/>
            <w:r>
              <w:rPr>
                <w:rFonts w:ascii="Arial" w:hAnsi="Arial"/>
                <w:b w:val="0"/>
                <w:sz w:val="16"/>
              </w:rPr>
              <w:t>Подготовка</w:t>
            </w:r>
          </w:p>
        </w:tc>
        <w:tc>
          <w:tcPr>
            <w:tcW w:type="dxa" w:w="1810"/>
            <w:vAlign w:val="center"/>
          </w:tcPr>
          <w:p>
            <w:r/>
            <w:r>
              <w:rPr>
                <w:rFonts w:ascii="Arial" w:hAnsi="Arial"/>
                <w:b w:val="0"/>
                <w:sz w:val="16"/>
              </w:rPr>
              <w:t>—</w:t>
            </w:r>
          </w:p>
        </w:tc>
      </w:tr>
      <w:tr>
        <w:tc>
          <w:tcPr>
            <w:tcW w:type="dxa" w:w="1810"/>
            <w:vAlign w:val="center"/>
            <w:shd w:fill="EAF0F8"/>
          </w:tcPr>
          <w:p>
            <w:r/>
            <w:r>
              <w:rPr>
                <w:rFonts w:ascii="Arial" w:hAnsi="Arial"/>
                <w:b/>
                <w:sz w:val="16"/>
              </w:rPr>
              <w:t>Факт из ОСВ</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Согласование</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Проверка</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w:t>
            </w:r>
          </w:p>
        </w:tc>
      </w:tr>
      <w:tr>
        <w:tc>
          <w:tcPr>
            <w:tcW w:type="dxa" w:w="1810"/>
            <w:vAlign w:val="center"/>
          </w:tcPr>
          <w:p>
            <w:r/>
            <w:r>
              <w:rPr>
                <w:rFonts w:ascii="Arial" w:hAnsi="Arial"/>
                <w:b/>
                <w:sz w:val="16"/>
              </w:rPr>
              <w:t>Ручной факт</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Согласование</w:t>
            </w:r>
          </w:p>
        </w:tc>
        <w:tc>
          <w:tcPr>
            <w:tcW w:type="dxa" w:w="1810"/>
            <w:vAlign w:val="center"/>
          </w:tcPr>
          <w:p>
            <w:r/>
            <w:r>
              <w:rPr>
                <w:rFonts w:ascii="Arial" w:hAnsi="Arial"/>
                <w:b w:val="0"/>
                <w:sz w:val="16"/>
              </w:rPr>
              <w:t>Согласование</w:t>
            </w:r>
          </w:p>
        </w:tc>
        <w:tc>
          <w:tcPr>
            <w:tcW w:type="dxa" w:w="1810"/>
            <w:vAlign w:val="center"/>
          </w:tcPr>
          <w:p>
            <w:r/>
            <w:r>
              <w:rPr>
                <w:rFonts w:ascii="Arial" w:hAnsi="Arial"/>
                <w:b w:val="0"/>
                <w:sz w:val="16"/>
              </w:rPr>
              <w:t>Проверка</w:t>
            </w:r>
          </w:p>
        </w:tc>
        <w:tc>
          <w:tcPr>
            <w:tcW w:type="dxa" w:w="1810"/>
            <w:vAlign w:val="center"/>
          </w:tcPr>
          <w:p>
            <w:r/>
            <w:r>
              <w:rPr>
                <w:rFonts w:ascii="Arial" w:hAnsi="Arial"/>
                <w:b w:val="0"/>
                <w:sz w:val="16"/>
              </w:rPr>
              <w:t>Согласование</w:t>
            </w:r>
          </w:p>
        </w:tc>
        <w:tc>
          <w:tcPr>
            <w:tcW w:type="dxa" w:w="1810"/>
            <w:vAlign w:val="center"/>
          </w:tcPr>
          <w:p>
            <w:r/>
            <w:r>
              <w:rPr>
                <w:rFonts w:ascii="Arial" w:hAnsi="Arial"/>
                <w:b w:val="0"/>
                <w:sz w:val="16"/>
              </w:rPr>
              <w:t>Ввод</w:t>
            </w:r>
          </w:p>
        </w:tc>
        <w:tc>
          <w:tcPr>
            <w:tcW w:type="dxa" w:w="1810"/>
            <w:vAlign w:val="center"/>
          </w:tcPr>
          <w:p>
            <w:r/>
            <w:r>
              <w:rPr>
                <w:rFonts w:ascii="Arial" w:hAnsi="Arial"/>
                <w:b w:val="0"/>
                <w:sz w:val="16"/>
              </w:rPr>
              <w:t>—</w:t>
            </w:r>
          </w:p>
        </w:tc>
      </w:tr>
      <w:tr>
        <w:tc>
          <w:tcPr>
            <w:tcW w:type="dxa" w:w="1810"/>
            <w:vAlign w:val="center"/>
            <w:shd w:fill="EAF0F8"/>
          </w:tcPr>
          <w:p>
            <w:r/>
            <w:r>
              <w:rPr>
                <w:rFonts w:ascii="Arial" w:hAnsi="Arial"/>
                <w:b/>
                <w:sz w:val="16"/>
              </w:rPr>
              <w:t>Методика KPI</w:t>
            </w:r>
          </w:p>
        </w:tc>
        <w:tc>
          <w:tcPr>
            <w:tcW w:type="dxa" w:w="1810"/>
            <w:vAlign w:val="center"/>
            <w:shd w:fill="EAF0F8"/>
          </w:tcPr>
          <w:p>
            <w:r/>
            <w:r>
              <w:rPr>
                <w:rFonts w:ascii="Arial" w:hAnsi="Arial"/>
                <w:b w:val="0"/>
                <w:sz w:val="16"/>
              </w:rPr>
              <w:t>Утверждение</w:t>
            </w:r>
          </w:p>
        </w:tc>
        <w:tc>
          <w:tcPr>
            <w:tcW w:type="dxa" w:w="1810"/>
            <w:vAlign w:val="center"/>
            <w:shd w:fill="EAF0F8"/>
          </w:tcPr>
          <w:p>
            <w:r/>
            <w:r>
              <w:rPr>
                <w:rFonts w:ascii="Arial" w:hAnsi="Arial"/>
                <w:b w:val="0"/>
                <w:sz w:val="16"/>
              </w:rPr>
              <w:t>Подготовка</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Просмотр</w:t>
            </w:r>
          </w:p>
        </w:tc>
        <w:tc>
          <w:tcPr>
            <w:tcW w:type="dxa" w:w="1810"/>
            <w:vAlign w:val="center"/>
            <w:shd w:fill="EAF0F8"/>
          </w:tcPr>
          <w:p>
            <w:r/>
            <w:r>
              <w:rPr>
                <w:rFonts w:ascii="Arial" w:hAnsi="Arial"/>
                <w:b w:val="0"/>
                <w:sz w:val="16"/>
              </w:rPr>
              <w:t>Сопровождение</w:t>
            </w:r>
          </w:p>
        </w:tc>
      </w:tr>
      <w:tr>
        <w:tc>
          <w:tcPr>
            <w:tcW w:type="dxa" w:w="1810"/>
            <w:vAlign w:val="center"/>
          </w:tcPr>
          <w:p>
            <w:r/>
            <w:r>
              <w:rPr>
                <w:rFonts w:ascii="Arial" w:hAnsi="Arial"/>
                <w:b/>
                <w:sz w:val="16"/>
              </w:rPr>
              <w:t>Профиль рейтинга</w:t>
            </w:r>
          </w:p>
        </w:tc>
        <w:tc>
          <w:tcPr>
            <w:tcW w:type="dxa" w:w="1810"/>
            <w:vAlign w:val="center"/>
          </w:tcPr>
          <w:p>
            <w:r/>
            <w:r>
              <w:rPr>
                <w:rFonts w:ascii="Arial" w:hAnsi="Arial"/>
                <w:b w:val="0"/>
                <w:sz w:val="16"/>
              </w:rPr>
              <w:t>Утверждение</w:t>
            </w:r>
          </w:p>
        </w:tc>
        <w:tc>
          <w:tcPr>
            <w:tcW w:type="dxa" w:w="1810"/>
            <w:vAlign w:val="center"/>
          </w:tcPr>
          <w:p>
            <w:r/>
            <w:r>
              <w:rPr>
                <w:rFonts w:ascii="Arial" w:hAnsi="Arial"/>
                <w:b w:val="0"/>
                <w:sz w:val="16"/>
              </w:rPr>
              <w:t>Управление</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Просмотр</w:t>
            </w:r>
          </w:p>
        </w:tc>
        <w:tc>
          <w:tcPr>
            <w:tcW w:type="dxa" w:w="1810"/>
            <w:vAlign w:val="center"/>
          </w:tcPr>
          <w:p>
            <w:r/>
            <w:r>
              <w:rPr>
                <w:rFonts w:ascii="Arial" w:hAnsi="Arial"/>
                <w:b w:val="0"/>
                <w:sz w:val="16"/>
              </w:rPr>
              <w:t>—</w:t>
            </w:r>
          </w:p>
        </w:tc>
      </w:tr>
      <w:tr>
        <w:tc>
          <w:tcPr>
            <w:tcW w:type="dxa" w:w="1810"/>
            <w:vAlign w:val="center"/>
            <w:shd w:fill="EAF0F8"/>
          </w:tcPr>
          <w:p>
            <w:r/>
            <w:r>
              <w:rPr>
                <w:rFonts w:ascii="Arial" w:hAnsi="Arial"/>
                <w:b/>
                <w:sz w:val="16"/>
              </w:rPr>
              <w:t>Официальный отчёт</w:t>
            </w:r>
          </w:p>
        </w:tc>
        <w:tc>
          <w:tcPr>
            <w:tcW w:type="dxa" w:w="1810"/>
            <w:vAlign w:val="center"/>
            <w:shd w:fill="EAF0F8"/>
          </w:tcPr>
          <w:p>
            <w:r/>
            <w:r>
              <w:rPr>
                <w:rFonts w:ascii="Arial" w:hAnsi="Arial"/>
                <w:b w:val="0"/>
                <w:sz w:val="16"/>
              </w:rPr>
              <w:t>Утверждение</w:t>
            </w:r>
          </w:p>
        </w:tc>
        <w:tc>
          <w:tcPr>
            <w:tcW w:type="dxa" w:w="1810"/>
            <w:vAlign w:val="center"/>
            <w:shd w:fill="EAF0F8"/>
          </w:tcPr>
          <w:p>
            <w:r/>
            <w:r>
              <w:rPr>
                <w:rFonts w:ascii="Arial" w:hAnsi="Arial"/>
                <w:b w:val="0"/>
                <w:sz w:val="16"/>
              </w:rPr>
              <w:t>Подготовка</w:t>
            </w:r>
          </w:p>
        </w:tc>
        <w:tc>
          <w:tcPr>
            <w:tcW w:type="dxa" w:w="1810"/>
            <w:vAlign w:val="center"/>
            <w:shd w:fill="EAF0F8"/>
          </w:tcPr>
          <w:p>
            <w:r/>
            <w:r>
              <w:rPr>
                <w:rFonts w:ascii="Arial" w:hAnsi="Arial"/>
                <w:b w:val="0"/>
                <w:sz w:val="16"/>
              </w:rPr>
              <w:t>По ОМСУ</w:t>
            </w:r>
          </w:p>
        </w:tc>
        <w:tc>
          <w:tcPr>
            <w:tcW w:type="dxa" w:w="1810"/>
            <w:vAlign w:val="center"/>
            <w:shd w:fill="EAF0F8"/>
          </w:tcPr>
          <w:p>
            <w:r/>
            <w:r>
              <w:rPr>
                <w:rFonts w:ascii="Arial" w:hAnsi="Arial"/>
                <w:b w:val="0"/>
                <w:sz w:val="16"/>
              </w:rPr>
              <w:t>Подготовка</w:t>
            </w:r>
          </w:p>
        </w:tc>
        <w:tc>
          <w:tcPr>
            <w:tcW w:type="dxa" w:w="1810"/>
            <w:vAlign w:val="center"/>
            <w:shd w:fill="EAF0F8"/>
          </w:tcPr>
          <w:p>
            <w:r/>
            <w:r>
              <w:rPr>
                <w:rFonts w:ascii="Arial" w:hAnsi="Arial"/>
                <w:b w:val="0"/>
                <w:sz w:val="16"/>
              </w:rPr>
              <w:t>По РСО</w:t>
            </w:r>
          </w:p>
        </w:tc>
        <w:tc>
          <w:tcPr>
            <w:tcW w:type="dxa" w:w="1810"/>
            <w:vAlign w:val="center"/>
            <w:shd w:fill="EAF0F8"/>
          </w:tcPr>
          <w:p>
            <w:r/>
            <w:r>
              <w:rPr>
                <w:rFonts w:ascii="Arial" w:hAnsi="Arial"/>
                <w:b w:val="0"/>
                <w:sz w:val="16"/>
              </w:rPr>
              <w:t>Подготовка</w:t>
            </w:r>
          </w:p>
        </w:tc>
        <w:tc>
          <w:tcPr>
            <w:tcW w:type="dxa" w:w="1810"/>
            <w:vAlign w:val="center"/>
            <w:shd w:fill="EAF0F8"/>
          </w:tcPr>
          <w:p>
            <w:r/>
            <w:r>
              <w:rPr>
                <w:rFonts w:ascii="Arial" w:hAnsi="Arial"/>
                <w:b w:val="0"/>
                <w:sz w:val="16"/>
              </w:rPr>
              <w:t>—</w:t>
            </w:r>
          </w:p>
        </w:tc>
      </w:tr>
      <w:tr>
        <w:tc>
          <w:tcPr>
            <w:tcW w:type="dxa" w:w="1810"/>
            <w:vAlign w:val="center"/>
          </w:tcPr>
          <w:p>
            <w:r/>
            <w:r>
              <w:rPr>
                <w:rFonts w:ascii="Arial" w:hAnsi="Arial"/>
                <w:b/>
                <w:sz w:val="16"/>
              </w:rPr>
              <w:t>Управление ролями</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Ограниченно</w:t>
            </w:r>
          </w:p>
        </w:tc>
        <w:tc>
          <w:tcPr>
            <w:tcW w:type="dxa" w:w="1810"/>
            <w:vAlign w:val="center"/>
          </w:tcPr>
          <w:p>
            <w:r/>
            <w:r>
              <w:rPr>
                <w:rFonts w:ascii="Arial" w:hAnsi="Arial"/>
                <w:b w:val="0"/>
                <w:sz w:val="16"/>
              </w:rPr>
              <w:t>Делегирование</w:t>
            </w:r>
          </w:p>
        </w:tc>
        <w:tc>
          <w:tcPr>
            <w:tcW w:type="dxa" w:w="1810"/>
            <w:vAlign w:val="center"/>
          </w:tcPr>
          <w:p>
            <w:r/>
            <w:r>
              <w:rPr>
                <w:rFonts w:ascii="Arial" w:hAnsi="Arial"/>
                <w:b w:val="0"/>
                <w:sz w:val="16"/>
              </w:rPr>
              <w:t>При праве</w:t>
            </w:r>
          </w:p>
        </w:tc>
        <w:tc>
          <w:tcPr>
            <w:tcW w:type="dxa" w:w="1810"/>
            <w:vAlign w:val="center"/>
          </w:tcPr>
          <w:p>
            <w:r/>
            <w:r>
              <w:rPr>
                <w:rFonts w:ascii="Arial" w:hAnsi="Arial"/>
                <w:b w:val="0"/>
                <w:sz w:val="16"/>
              </w:rPr>
              <w:t>Своя РСО</w:t>
            </w:r>
          </w:p>
        </w:tc>
        <w:tc>
          <w:tcPr>
            <w:tcW w:type="dxa" w:w="1810"/>
            <w:vAlign w:val="center"/>
          </w:tcPr>
          <w:p>
            <w:r/>
            <w:r>
              <w:rPr>
                <w:rFonts w:ascii="Arial" w:hAnsi="Arial"/>
                <w:b w:val="0"/>
                <w:sz w:val="16"/>
              </w:rPr>
              <w:t>—</w:t>
            </w:r>
          </w:p>
        </w:tc>
        <w:tc>
          <w:tcPr>
            <w:tcW w:type="dxa" w:w="1810"/>
            <w:vAlign w:val="center"/>
          </w:tcPr>
          <w:p>
            <w:r/>
            <w:r>
              <w:rPr>
                <w:rFonts w:ascii="Arial" w:hAnsi="Arial"/>
                <w:b w:val="0"/>
                <w:sz w:val="16"/>
              </w:rPr>
              <w:t>Системное</w:t>
            </w:r>
          </w:p>
        </w:tc>
      </w:tr>
      <w:tr>
        <w:tc>
          <w:tcPr>
            <w:tcW w:type="dxa" w:w="1810"/>
            <w:vAlign w:val="center"/>
            <w:shd w:fill="EAF0F8"/>
          </w:tcPr>
          <w:p>
            <w:r/>
            <w:r>
              <w:rPr>
                <w:rFonts w:ascii="Arial" w:hAnsi="Arial"/>
                <w:b/>
                <w:sz w:val="16"/>
              </w:rPr>
              <w:t>Аудит</w:t>
            </w:r>
          </w:p>
        </w:tc>
        <w:tc>
          <w:tcPr>
            <w:tcW w:type="dxa" w:w="1810"/>
            <w:vAlign w:val="center"/>
            <w:shd w:fill="EAF0F8"/>
          </w:tcPr>
          <w:p>
            <w:r/>
            <w:r>
              <w:rPr>
                <w:rFonts w:ascii="Arial" w:hAnsi="Arial"/>
                <w:b w:val="0"/>
                <w:sz w:val="16"/>
              </w:rPr>
              <w:t>Общий</w:t>
            </w:r>
          </w:p>
        </w:tc>
        <w:tc>
          <w:tcPr>
            <w:tcW w:type="dxa" w:w="1810"/>
            <w:vAlign w:val="center"/>
            <w:shd w:fill="EAF0F8"/>
          </w:tcPr>
          <w:p>
            <w:r/>
            <w:r>
              <w:rPr>
                <w:rFonts w:ascii="Arial" w:hAnsi="Arial"/>
                <w:b w:val="0"/>
                <w:sz w:val="16"/>
              </w:rPr>
              <w:t>По scope</w:t>
            </w:r>
          </w:p>
        </w:tc>
        <w:tc>
          <w:tcPr>
            <w:tcW w:type="dxa" w:w="1810"/>
            <w:vAlign w:val="center"/>
            <w:shd w:fill="EAF0F8"/>
          </w:tcPr>
          <w:p>
            <w:r/>
            <w:r>
              <w:rPr>
                <w:rFonts w:ascii="Arial" w:hAnsi="Arial"/>
                <w:b w:val="0"/>
                <w:sz w:val="16"/>
              </w:rPr>
              <w:t>Своё ОМСУ</w:t>
            </w:r>
          </w:p>
        </w:tc>
        <w:tc>
          <w:tcPr>
            <w:tcW w:type="dxa" w:w="1810"/>
            <w:vAlign w:val="center"/>
            <w:shd w:fill="EAF0F8"/>
          </w:tcPr>
          <w:p>
            <w:r/>
            <w:r>
              <w:rPr>
                <w:rFonts w:ascii="Arial" w:hAnsi="Arial"/>
                <w:b w:val="0"/>
                <w:sz w:val="16"/>
              </w:rPr>
              <w:t>Ограниченно</w:t>
            </w:r>
          </w:p>
        </w:tc>
        <w:tc>
          <w:tcPr>
            <w:tcW w:type="dxa" w:w="1810"/>
            <w:vAlign w:val="center"/>
            <w:shd w:fill="EAF0F8"/>
          </w:tcPr>
          <w:p>
            <w:r/>
            <w:r>
              <w:rPr>
                <w:rFonts w:ascii="Arial" w:hAnsi="Arial"/>
                <w:b w:val="0"/>
                <w:sz w:val="16"/>
              </w:rPr>
              <w:t>Своя РСО</w:t>
            </w:r>
          </w:p>
        </w:tc>
        <w:tc>
          <w:tcPr>
            <w:tcW w:type="dxa" w:w="1810"/>
            <w:vAlign w:val="center"/>
            <w:shd w:fill="EAF0F8"/>
          </w:tcPr>
          <w:p>
            <w:r/>
            <w:r>
              <w:rPr>
                <w:rFonts w:ascii="Arial" w:hAnsi="Arial"/>
                <w:b w:val="0"/>
                <w:sz w:val="16"/>
              </w:rPr>
              <w:t>Свои действия</w:t>
            </w:r>
          </w:p>
        </w:tc>
        <w:tc>
          <w:tcPr>
            <w:tcW w:type="dxa" w:w="1810"/>
            <w:vAlign w:val="center"/>
            <w:shd w:fill="EAF0F8"/>
          </w:tcPr>
          <w:p>
            <w:r/>
            <w:r>
              <w:rPr>
                <w:rFonts w:ascii="Arial" w:hAnsi="Arial"/>
                <w:b w:val="0"/>
                <w:sz w:val="16"/>
              </w:rPr>
              <w:t>Технический</w:t>
            </w:r>
          </w:p>
        </w:tc>
      </w:tr>
    </w:tbl>
    <w:p>
      <w:pPr>
        <w:sectPr>
          <w:pgSz w:w="15840" w:h="12240" w:orient="landscape"/>
          <w:pgMar w:top="1020" w:right="680" w:bottom="1020" w:left="680" w:header="720" w:footer="720" w:gutter="0"/>
          <w:cols w:space="720"/>
          <w:docGrid w:linePitch="360"/>
        </w:sectPr>
      </w:pPr>
    </w:p>
    <w:p>
      <w:pPr>
        <w:pStyle w:val="Heading1"/>
      </w:pPr>
      <w:r>
        <w:t>7. Каталог атомарных разрешений</w:t>
      </w:r>
    </w:p>
    <w:p>
      <w:pPr>
        <w:pStyle w:val="Heading2"/>
      </w:pPr>
      <w:r>
        <w:t>Аналитика</w:t>
      </w:r>
    </w:p>
    <w:p>
      <w:pPr>
        <w:pStyle w:val="ListBullet"/>
      </w:pPr>
      <w:r>
        <w:t>analytics.summary.read</w:t>
      </w:r>
    </w:p>
    <w:p>
      <w:pPr>
        <w:pStyle w:val="ListBullet"/>
      </w:pPr>
      <w:r>
        <w:t>analytics.company.read</w:t>
      </w:r>
    </w:p>
    <w:p>
      <w:pPr>
        <w:pStyle w:val="ListBullet"/>
      </w:pPr>
      <w:r>
        <w:t>analytics.source_data.read</w:t>
      </w:r>
    </w:p>
    <w:p>
      <w:pPr>
        <w:pStyle w:val="ListBullet"/>
      </w:pPr>
      <w:r>
        <w:t>analytics.compare</w:t>
      </w:r>
    </w:p>
    <w:p>
      <w:pPr>
        <w:pStyle w:val="ListBullet"/>
      </w:pPr>
      <w:r>
        <w:t>analytics.export</w:t>
      </w:r>
    </w:p>
    <w:p>
      <w:pPr>
        <w:pStyle w:val="ListBullet"/>
      </w:pPr>
      <w:r>
        <w:t>analytics.comments.create</w:t>
      </w:r>
    </w:p>
    <w:p>
      <w:pPr>
        <w:pStyle w:val="Heading2"/>
      </w:pPr>
      <w:r>
        <w:t>ОСВ и загрузки</w:t>
      </w:r>
    </w:p>
    <w:p>
      <w:pPr>
        <w:pStyle w:val="ListBullet"/>
      </w:pPr>
      <w:r>
        <w:t>osv.upload.create</w:t>
      </w:r>
    </w:p>
    <w:p>
      <w:pPr>
        <w:pStyle w:val="ListBullet"/>
      </w:pPr>
      <w:r>
        <w:t>osv.upload.read</w:t>
      </w:r>
    </w:p>
    <w:p>
      <w:pPr>
        <w:pStyle w:val="ListBullet"/>
      </w:pPr>
      <w:r>
        <w:t>osv.upload.submit</w:t>
      </w:r>
    </w:p>
    <w:p>
      <w:pPr>
        <w:pStyle w:val="ListBullet"/>
      </w:pPr>
      <w:r>
        <w:t>osv.upload.reject</w:t>
      </w:r>
    </w:p>
    <w:p>
      <w:pPr>
        <w:pStyle w:val="ListBullet"/>
      </w:pPr>
      <w:r>
        <w:t>osv.upload.approve</w:t>
      </w:r>
    </w:p>
    <w:p>
      <w:pPr>
        <w:pStyle w:val="ListBullet"/>
      </w:pPr>
      <w:r>
        <w:t>osv.upload.correct</w:t>
      </w:r>
    </w:p>
    <w:p>
      <w:pPr>
        <w:pStyle w:val="ListBullet"/>
      </w:pPr>
      <w:r>
        <w:t>osv.upload.download_source</w:t>
      </w:r>
    </w:p>
    <w:p>
      <w:pPr>
        <w:pStyle w:val="ListBullet"/>
      </w:pPr>
      <w:r>
        <w:t>osv.upload.reprocess</w:t>
      </w:r>
    </w:p>
    <w:p>
      <w:pPr>
        <w:pStyle w:val="Heading2"/>
      </w:pPr>
      <w:r>
        <w:t>KPI</w:t>
      </w:r>
    </w:p>
    <w:p>
      <w:pPr>
        <w:pStyle w:val="ListBullet"/>
      </w:pPr>
      <w:r>
        <w:t>kpi.catalog.read</w:t>
      </w:r>
    </w:p>
    <w:p>
      <w:pPr>
        <w:pStyle w:val="ListBullet"/>
      </w:pPr>
      <w:r>
        <w:t>kpi.catalog.manage</w:t>
      </w:r>
    </w:p>
    <w:p>
      <w:pPr>
        <w:pStyle w:val="ListBullet"/>
      </w:pPr>
      <w:r>
        <w:t>kpi.methodology.publish</w:t>
      </w:r>
    </w:p>
    <w:p>
      <w:pPr>
        <w:pStyle w:val="ListBullet"/>
      </w:pPr>
      <w:r>
        <w:t>kpi.plan.edit</w:t>
      </w:r>
    </w:p>
    <w:p>
      <w:pPr>
        <w:pStyle w:val="ListBullet"/>
      </w:pPr>
      <w:r>
        <w:t>kpi.plan.submit</w:t>
      </w:r>
    </w:p>
    <w:p>
      <w:pPr>
        <w:pStyle w:val="ListBullet"/>
      </w:pPr>
      <w:r>
        <w:t>kpi.plan.approve</w:t>
      </w:r>
    </w:p>
    <w:p>
      <w:pPr>
        <w:pStyle w:val="ListBullet"/>
      </w:pPr>
      <w:r>
        <w:t>kpi.fact.read</w:t>
      </w:r>
    </w:p>
    <w:p>
      <w:pPr>
        <w:pStyle w:val="ListBullet"/>
      </w:pPr>
      <w:r>
        <w:t>kpi.fact.manual_create</w:t>
      </w:r>
    </w:p>
    <w:p>
      <w:pPr>
        <w:pStyle w:val="ListBullet"/>
      </w:pPr>
      <w:r>
        <w:t>kpi.fact.correct</w:t>
      </w:r>
    </w:p>
    <w:p>
      <w:pPr>
        <w:pStyle w:val="ListBullet"/>
      </w:pPr>
      <w:r>
        <w:t>kpi.fact.approve</w:t>
      </w:r>
    </w:p>
    <w:p>
      <w:pPr>
        <w:pStyle w:val="ListBullet"/>
      </w:pPr>
      <w:r>
        <w:t>kpi.result.publish</w:t>
      </w:r>
    </w:p>
    <w:p>
      <w:pPr>
        <w:pStyle w:val="Heading2"/>
      </w:pPr>
      <w:r>
        <w:t>Рейтинг</w:t>
      </w:r>
    </w:p>
    <w:p>
      <w:pPr>
        <w:pStyle w:val="ListBullet"/>
      </w:pPr>
      <w:r>
        <w:t>rating.read</w:t>
      </w:r>
    </w:p>
    <w:p>
      <w:pPr>
        <w:pStyle w:val="ListBullet"/>
      </w:pPr>
      <w:r>
        <w:t>rating.details.read</w:t>
      </w:r>
    </w:p>
    <w:p>
      <w:pPr>
        <w:pStyle w:val="ListBullet"/>
      </w:pPr>
      <w:r>
        <w:t>rating.profile.create</w:t>
      </w:r>
    </w:p>
    <w:p>
      <w:pPr>
        <w:pStyle w:val="ListBullet"/>
      </w:pPr>
      <w:r>
        <w:t>rating.profile.edit</w:t>
      </w:r>
    </w:p>
    <w:p>
      <w:pPr>
        <w:pStyle w:val="ListBullet"/>
      </w:pPr>
      <w:r>
        <w:t>rating.profile.publish</w:t>
      </w:r>
    </w:p>
    <w:p>
      <w:pPr>
        <w:pStyle w:val="ListBullet"/>
      </w:pPr>
      <w:r>
        <w:t>rating.snapshot.publish</w:t>
      </w:r>
    </w:p>
    <w:p>
      <w:pPr>
        <w:pStyle w:val="ListBullet"/>
      </w:pPr>
      <w:r>
        <w:t>rating.export</w:t>
      </w:r>
    </w:p>
    <w:p>
      <w:pPr>
        <w:pStyle w:val="Heading2"/>
      </w:pPr>
      <w:r>
        <w:t>Документы</w:t>
      </w:r>
    </w:p>
    <w:p>
      <w:pPr>
        <w:pStyle w:val="ListBullet"/>
      </w:pPr>
      <w:r>
        <w:t>documents.upload</w:t>
      </w:r>
    </w:p>
    <w:p>
      <w:pPr>
        <w:pStyle w:val="ListBullet"/>
      </w:pPr>
      <w:r>
        <w:t>documents.read</w:t>
      </w:r>
    </w:p>
    <w:p>
      <w:pPr>
        <w:pStyle w:val="ListBullet"/>
      </w:pPr>
      <w:r>
        <w:t>documents.review</w:t>
      </w:r>
    </w:p>
    <w:p>
      <w:pPr>
        <w:pStyle w:val="ListBullet"/>
      </w:pPr>
      <w:r>
        <w:t>documents.reject</w:t>
      </w:r>
    </w:p>
    <w:p>
      <w:pPr>
        <w:pStyle w:val="ListBullet"/>
      </w:pPr>
      <w:r>
        <w:t>documents.approve</w:t>
      </w:r>
    </w:p>
    <w:p>
      <w:pPr>
        <w:pStyle w:val="ListBullet"/>
      </w:pPr>
      <w:r>
        <w:t>documents.download</w:t>
      </w:r>
    </w:p>
    <w:p>
      <w:pPr>
        <w:pStyle w:val="ListBullet"/>
      </w:pPr>
      <w:r>
        <w:t>documents.delete_draft</w:t>
      </w:r>
    </w:p>
    <w:p>
      <w:pPr>
        <w:pStyle w:val="Heading2"/>
      </w:pPr>
      <w:r>
        <w:t>Администрирование</w:t>
      </w:r>
    </w:p>
    <w:p>
      <w:pPr>
        <w:pStyle w:val="ListBullet"/>
      </w:pPr>
      <w:r>
        <w:t>users.read</w:t>
      </w:r>
    </w:p>
    <w:p>
      <w:pPr>
        <w:pStyle w:val="ListBullet"/>
      </w:pPr>
      <w:r>
        <w:t>users.create</w:t>
      </w:r>
    </w:p>
    <w:p>
      <w:pPr>
        <w:pStyle w:val="ListBullet"/>
      </w:pPr>
      <w:r>
        <w:t>users.block</w:t>
      </w:r>
    </w:p>
    <w:p>
      <w:pPr>
        <w:pStyle w:val="ListBullet"/>
      </w:pPr>
      <w:r>
        <w:t>roles.assign</w:t>
      </w:r>
    </w:p>
    <w:p>
      <w:pPr>
        <w:pStyle w:val="ListBullet"/>
      </w:pPr>
      <w:r>
        <w:t>scope.assign</w:t>
      </w:r>
    </w:p>
    <w:p>
      <w:pPr>
        <w:pStyle w:val="ListBullet"/>
      </w:pPr>
      <w:r>
        <w:t>delegation.create</w:t>
      </w:r>
    </w:p>
    <w:p>
      <w:pPr>
        <w:pStyle w:val="ListBullet"/>
      </w:pPr>
      <w:r>
        <w:t>reference_data.manage</w:t>
      </w:r>
    </w:p>
    <w:p>
      <w:pPr>
        <w:pStyle w:val="ListBullet"/>
      </w:pPr>
      <w:r>
        <w:t>audit.read</w:t>
      </w:r>
    </w:p>
    <w:p>
      <w:pPr>
        <w:pStyle w:val="ListBullet"/>
      </w:pPr>
      <w:r>
        <w:t>technical_jobs.manage</w:t>
      </w:r>
    </w:p>
    <w:p>
      <w:r>
        <w:t>Названия разрешений приведены как рекомендуемый логический каталог. Конкретная техническая нотация может быть уточнена при проектировании.</w:t>
      </w:r>
    </w:p>
    <w:p>
      <w:pPr>
        <w:pStyle w:val="Heading1"/>
      </w:pPr>
      <w:r>
        <w:t>8. Области видимости данных</w:t>
      </w:r>
    </w:p>
    <w:p>
      <w:r>
        <w:rPr>
          <w:b/>
        </w:rPr>
        <w:t xml:space="preserve">Областная: </w:t>
      </w:r>
      <w:r>
        <w:t>Все ОМСУ и РСО. Для министра и специально назначенных сотрудников Министерства.</w:t>
      </w:r>
    </w:p>
    <w:p>
      <w:r>
        <w:rPr>
          <w:b/>
        </w:rPr>
        <w:t xml:space="preserve">Муниципальная: </w:t>
      </w:r>
      <w:r>
        <w:t>Конкретное ОМСУ и связанные с ним РСО. Для главы и сотрудников ОМСУ, а также куратора Министерства.</w:t>
      </w:r>
    </w:p>
    <w:p>
      <w:r>
        <w:rPr>
          <w:b/>
        </w:rPr>
        <w:t xml:space="preserve">Организационная: </w:t>
      </w:r>
      <w:r>
        <w:t>Конкретная РСО или группа юридических лиц.</w:t>
      </w:r>
    </w:p>
    <w:p>
      <w:r>
        <w:rPr>
          <w:b/>
        </w:rPr>
        <w:t xml:space="preserve">Объектная: </w:t>
      </w:r>
      <w:r>
        <w:t>Конкретная загрузка, документ, KPI, отчётный период или задача проверки.</w:t>
      </w:r>
    </w:p>
    <w:p>
      <w:r>
        <w:rPr>
          <w:b/>
        </w:rPr>
        <w:t xml:space="preserve">Собственные действия: </w:t>
      </w:r>
      <w:r>
        <w:t>Только собственные черновики, загрузки и операции пользователя до передачи на согласование.</w:t>
      </w:r>
    </w:p>
    <w:p>
      <w:pPr>
        <w:pStyle w:val="Heading1"/>
      </w:pPr>
      <w:r>
        <w:t>9. Жизненный цикл данных и согласование</w:t>
      </w:r>
    </w:p>
    <w:p>
      <w:pPr>
        <w:jc w:val="center"/>
      </w:pPr>
      <w:r>
        <w:rPr>
          <w:b/>
          <w:color w:val="2F5597"/>
        </w:rPr>
        <w:t>Черновик → Подготовлен → Отправлен РСО → Проверяется ОМСУ → Проверяется Министерством → Принят → Опубликован</w:t>
      </w:r>
    </w:p>
    <w:p>
      <w:pPr>
        <w:pStyle w:val="ListBullet"/>
      </w:pPr>
      <w:r>
        <w:t>Сотрудник РСО изменяет только черновик или возвращённую версию.</w:t>
      </w:r>
    </w:p>
    <w:p>
      <w:pPr>
        <w:pStyle w:val="ListBullet"/>
      </w:pPr>
      <w:r>
        <w:t>После отправки версия блокируется от незаметного изменения.</w:t>
      </w:r>
    </w:p>
    <w:p>
      <w:pPr>
        <w:pStyle w:val="ListBullet"/>
      </w:pPr>
      <w:r>
        <w:t>ОМСУ и Министерство согласуют либо возвращают данные, но не переписывают первичную информацию за РСО.</w:t>
      </w:r>
    </w:p>
    <w:p>
      <w:pPr>
        <w:pStyle w:val="ListBullet"/>
      </w:pPr>
      <w:r>
        <w:t>Исправление создаёт новую версию с причиной и связью с предыдущей.</w:t>
      </w:r>
    </w:p>
    <w:p>
      <w:pPr>
        <w:pStyle w:val="ListBullet"/>
      </w:pPr>
      <w:r>
        <w:t>Опубликованный факт нельзя заменить без процедуры корректировки.</w:t>
      </w:r>
    </w:p>
    <w:p>
      <w:pPr>
        <w:pStyle w:val="ListBullet"/>
      </w:pPr>
      <w:r>
        <w:t>Рейтинг и KPI должны ссылаться на конкретную принятую версию входных данных и методики.</w:t>
      </w:r>
    </w:p>
    <w:p>
      <w:pPr>
        <w:pStyle w:val="Heading1"/>
      </w:pPr>
      <w:r>
        <w:t>10. Особенности KPI «план / факт»</w:t>
      </w:r>
    </w:p>
    <w:p>
      <w:r>
        <w:t>Для каждого KPI необходимо независимо управлять каталогом показателей, методикой, плановыми значениями, фактическими значениями, источниками, документами и статусом согласования.</w:t>
      </w:r>
    </w:p>
    <w:p>
      <w:pPr>
        <w:pStyle w:val="Heading2"/>
      </w:pPr>
      <w:r>
        <w:t>Типы источников факта</w:t>
      </w:r>
    </w:p>
    <w:p>
      <w:pPr>
        <w:pStyle w:val="ListNumber"/>
      </w:pPr>
      <w:r>
        <w:t>Автоматический расчёт из ОСВ.</w:t>
      </w:r>
    </w:p>
    <w:p>
      <w:pPr>
        <w:pStyle w:val="ListNumber"/>
      </w:pPr>
      <w:r>
        <w:t>Автоматическое получение из другой информационной системы.</w:t>
      </w:r>
    </w:p>
    <w:p>
      <w:pPr>
        <w:pStyle w:val="ListNumber"/>
      </w:pPr>
      <w:r>
        <w:t>Ручной ввод с подтверждающими материалами.</w:t>
      </w:r>
    </w:p>
    <w:p>
      <w:pPr>
        <w:pStyle w:val="ListNumber"/>
      </w:pPr>
      <w:r>
        <w:t>Расчёт из нескольких источников.</w:t>
      </w:r>
    </w:p>
    <w:p>
      <w:r>
        <w:t>Если факт рассчитан из принятой ОСВ, сотрудник РСО не изменяет число непосредственно. Он исправляет источник, направляет пояснение либо создаёт запрос на корректировку. Ручная корректировка автоматического факта требует специального права, причины, старого и нового значения, подтверждающего документа, второго согласующего и записи в аудите.</w:t>
      </w:r>
    </w:p>
    <w:p>
      <w:pPr>
        <w:pStyle w:val="Heading1"/>
      </w:pPr>
      <w:r>
        <w:t>11. Пользовательские и официальные профили рейтинга</w:t>
      </w:r>
    </w:p>
    <w:p>
      <w:pPr>
        <w:pStyle w:val="Heading2"/>
      </w:pPr>
      <w:r>
        <w:t>Пользовательский профиль</w:t>
      </w:r>
    </w:p>
    <w:p>
      <w:pPr>
        <w:pStyle w:val="ListBullet"/>
      </w:pPr>
      <w:r>
        <w:t>Используется для аналитических экспериментов.</w:t>
      </w:r>
    </w:p>
    <w:p>
      <w:pPr>
        <w:pStyle w:val="ListBullet"/>
      </w:pPr>
      <w:r>
        <w:t>Доступен автору или рабочей группе.</w:t>
      </w:r>
    </w:p>
    <w:p>
      <w:pPr>
        <w:pStyle w:val="ListBullet"/>
      </w:pPr>
      <w:r>
        <w:t>Может менять метрики, веса и пороги.</w:t>
      </w:r>
    </w:p>
    <w:p>
      <w:pPr>
        <w:pStyle w:val="ListBullet"/>
      </w:pPr>
      <w:r>
        <w:t>Не считается официальной методикой и не используется в утверждённой отчётности.</w:t>
      </w:r>
    </w:p>
    <w:p>
      <w:pPr>
        <w:pStyle w:val="Heading2"/>
      </w:pPr>
      <w:r>
        <w:t>Официальная методика</w:t>
      </w:r>
    </w:p>
    <w:p>
      <w:pPr>
        <w:pStyle w:val="ListBullet"/>
      </w:pPr>
      <w:r>
        <w:t>Создаётся методологом и проходит согласование.</w:t>
      </w:r>
    </w:p>
    <w:p>
      <w:pPr>
        <w:pStyle w:val="ListBullet"/>
      </w:pPr>
      <w:r>
        <w:t>Утверждается уполномоченным лицом.</w:t>
      </w:r>
    </w:p>
    <w:p>
      <w:pPr>
        <w:pStyle w:val="ListBullet"/>
      </w:pPr>
      <w:r>
        <w:t>Получает номер версии и период действия.</w:t>
      </w:r>
    </w:p>
    <w:p>
      <w:pPr>
        <w:pStyle w:val="ListBullet"/>
      </w:pPr>
      <w:r>
        <w:t>После публикации неизменяема; корректировка создаёт новую версию.</w:t>
      </w:r>
    </w:p>
    <w:p>
      <w:pPr>
        <w:pStyle w:val="ListBullet"/>
      </w:pPr>
      <w:r>
        <w:t>Опубликованный рейтинг фиксирует версию методики и входные данные.</w:t>
      </w:r>
    </w:p>
    <w:p>
      <w:pPr>
        <w:pStyle w:val="Heading1"/>
      </w:pPr>
      <w:r>
        <w:t>12. Политика раскрытия данных между РСО</w:t>
      </w:r>
    </w:p>
    <w:p>
      <w:r>
        <w:t>Рекомендуется применять три уровня раскрытия:</w:t>
      </w:r>
    </w:p>
    <w:p>
      <w:pPr>
        <w:pStyle w:val="ListNumber"/>
      </w:pPr>
      <w:r>
        <w:t>Собственная детализация: РСО видит все собственные показатели, источники, формулы, сигналы, версии и документы.</w:t>
      </w:r>
    </w:p>
    <w:p>
      <w:pPr>
        <w:pStyle w:val="ListNumber"/>
      </w:pPr>
      <w:r>
        <w:t>Сравнение с рынком: РСО видит своё место, медиану, квартиль, диапазон и обезличенное распределение.</w:t>
      </w:r>
    </w:p>
    <w:p>
      <w:pPr>
        <w:pStyle w:val="ListNumber"/>
      </w:pPr>
      <w:r>
        <w:t>Открытый рейтинг: наименования и места других РСО показываются только по утверждённой политике Министерства; детальные финансовые данные не раскрываются автоматически.</w:t>
      </w:r>
    </w:p>
    <w:p>
      <w:pPr>
        <w:pStyle w:val="Heading1"/>
      </w:pPr>
      <w:r>
        <w:t>13. Делегирование полномочий</w:t>
      </w:r>
    </w:p>
    <w:p>
      <w:pPr>
        <w:pStyle w:val="ListBullet"/>
      </w:pPr>
      <w:r>
        <w:t>Фиксируются передающий, получатель, разрешения, область, срок и основание.</w:t>
      </w:r>
    </w:p>
    <w:p>
      <w:pPr>
        <w:pStyle w:val="ListBullet"/>
      </w:pPr>
      <w:r>
        <w:t>Нельзя передать больше прав, чем имеет передающий пользователь.</w:t>
      </w:r>
    </w:p>
    <w:p>
      <w:pPr>
        <w:pStyle w:val="ListBullet"/>
      </w:pPr>
      <w:r>
        <w:t>Назначение ролей и окончательное утверждение по умолчанию не делегируются.</w:t>
      </w:r>
    </w:p>
    <w:p>
      <w:pPr>
        <w:pStyle w:val="ListBullet"/>
      </w:pPr>
      <w:r>
        <w:t>Рекомендуемый максимальный срок — 30 дней, если регламентом не определено иное.</w:t>
      </w:r>
    </w:p>
    <w:p>
      <w:pPr>
        <w:pStyle w:val="ListBullet"/>
      </w:pPr>
      <w:r>
        <w:t>Полномочия можно отозвать немедленно.</w:t>
      </w:r>
    </w:p>
    <w:p>
      <w:pPr>
        <w:pStyle w:val="ListBullet"/>
      </w:pPr>
      <w:r>
        <w:t>Все действия помечаются как выполненные по делегированию.</w:t>
      </w:r>
    </w:p>
    <w:p>
      <w:pPr>
        <w:pStyle w:val="Heading1"/>
      </w:pPr>
      <w:r>
        <w:t>14. Аудит и контроль</w:t>
      </w:r>
    </w:p>
    <w:p>
      <w:r>
        <w:t>Неизменяемый журнал должен фиксировать как минимум:</w:t>
      </w:r>
    </w:p>
    <w:p>
      <w:pPr>
        <w:pStyle w:val="ListBullet"/>
      </w:pPr>
      <w:r>
        <w:t>входы, выходы, неуспешные попытки и отказы в доступе;</w:t>
      </w:r>
    </w:p>
    <w:p>
      <w:pPr>
        <w:pStyle w:val="ListBullet"/>
      </w:pPr>
      <w:r>
        <w:t>выдачу, изменение и отзыв ролей, областей и делегирований;</w:t>
      </w:r>
    </w:p>
    <w:p>
      <w:pPr>
        <w:pStyle w:val="ListBullet"/>
      </w:pPr>
      <w:r>
        <w:t>загрузку, скачивание, отправку, возврат и согласование данных;</w:t>
      </w:r>
    </w:p>
    <w:p>
      <w:pPr>
        <w:pStyle w:val="ListBullet"/>
      </w:pPr>
      <w:r>
        <w:t>изменения KPI, планов, ручных фактов, формул, весов и порогов;</w:t>
      </w:r>
    </w:p>
    <w:p>
      <w:pPr>
        <w:pStyle w:val="ListBullet"/>
      </w:pPr>
      <w:r>
        <w:t>публикацию методики, рейтинга и официального отчёта;</w:t>
      </w:r>
    </w:p>
    <w:p>
      <w:pPr>
        <w:pStyle w:val="ListBullet"/>
      </w:pPr>
      <w:r>
        <w:t>пользователя, эффективную роль, область, объект, версию, время, результат, основание и идентификатор запроса.</w:t>
      </w:r>
    </w:p>
    <w:p>
      <w:pPr>
        <w:pStyle w:val="Heading1"/>
      </w:pPr>
      <w:r>
        <w:t>15. Приоритеты внедрения</w:t>
      </w:r>
    </w:p>
    <w:p>
      <w:pPr>
        <w:pStyle w:val="ListNumber"/>
      </w:pPr>
      <w:r>
        <w:t>Ввести запрет по умолчанию и обязательную серверную проверку области данных.</w:t>
      </w:r>
    </w:p>
    <w:p>
      <w:pPr>
        <w:pStyle w:val="ListNumber"/>
      </w:pPr>
      <w:r>
        <w:t>Создать организационный справочник Министерства, ОМСУ и РСО и связи между организациями.</w:t>
      </w:r>
    </w:p>
    <w:p>
      <w:pPr>
        <w:pStyle w:val="ListNumber"/>
      </w:pPr>
      <w:r>
        <w:t>Ввести каталог разрешений и назначения «пользователь — роль — область — срок».</w:t>
      </w:r>
    </w:p>
    <w:p>
      <w:pPr>
        <w:pStyle w:val="ListNumber"/>
      </w:pPr>
      <w:r>
        <w:t>Разделить технического администратора и содержательные роли.</w:t>
      </w:r>
    </w:p>
    <w:p>
      <w:pPr>
        <w:pStyle w:val="ListNumber"/>
      </w:pPr>
      <w:r>
        <w:t>Добавить жизненный цикл и разделение подготовки, согласования и утверждения.</w:t>
      </w:r>
    </w:p>
    <w:p>
      <w:pPr>
        <w:pStyle w:val="ListNumber"/>
      </w:pPr>
      <w:r>
        <w:t>Обеспечить версионность ОСВ, KPI, методик, рейтингов и отчётов.</w:t>
      </w:r>
    </w:p>
    <w:p>
      <w:pPr>
        <w:pStyle w:val="ListNumber"/>
      </w:pPr>
      <w:r>
        <w:t>Реализовать временное делегирование и расширенный аудит.</w:t>
      </w:r>
    </w:p>
    <w:p>
      <w:pPr>
        <w:pStyle w:val="ListNumber"/>
      </w:pPr>
      <w:r>
        <w:t>Протестировать запреты межтерриториального доступа и невозможность самостоятельного утверждения.</w:t>
      </w:r>
    </w:p>
    <w:p>
      <w:pPr>
        <w:pStyle w:val="Heading1"/>
      </w:pPr>
      <w:r>
        <w:t>16. Вопросы, требующие решения заказчика</w:t>
      </w:r>
    </w:p>
    <w:p>
      <w:pPr>
        <w:pStyle w:val="ListNumber"/>
      </w:pPr>
      <w:r>
        <w:t>Может ли РСО видеть названия и места других РСО или только обезличенное сравнение?</w:t>
      </w:r>
    </w:p>
    <w:p>
      <w:pPr>
        <w:pStyle w:val="ListNumber"/>
      </w:pPr>
      <w:r>
        <w:t>Обязательно ли согласование ОМСУ для всех РСО, или часть организаций направляет данные непосредственно в Министерство?</w:t>
      </w:r>
    </w:p>
    <w:p>
      <w:pPr>
        <w:pStyle w:val="ListNumber"/>
      </w:pPr>
      <w:r>
        <w:t>Кто утверждает официальную методику KPI и рейтинга?</w:t>
      </w:r>
    </w:p>
    <w:p>
      <w:pPr>
        <w:pStyle w:val="ListNumber"/>
      </w:pPr>
      <w:r>
        <w:t>Может ли ОМСУ вводить или исправлять сведения за РСО и при каких основаниях?</w:t>
      </w:r>
    </w:p>
    <w:p>
      <w:pPr>
        <w:pStyle w:val="ListNumber"/>
      </w:pPr>
      <w:r>
        <w:t>Кому разрешён просмотр исходных ОСВ и первичных документов?</w:t>
      </w:r>
    </w:p>
    <w:p>
      <w:pPr>
        <w:pStyle w:val="ListNumber"/>
      </w:pPr>
      <w:r>
        <w:t>Какие действия могут быть делегированы на время отсутствия должностного лица?</w:t>
      </w:r>
    </w:p>
    <w:p>
      <w:pPr>
        <w:pStyle w:val="ListNumber"/>
      </w:pPr>
      <w:r>
        <w:t>Нужны ли отдельные правила доступа для РСО, работающих в нескольких муниципалитетах?</w:t>
      </w:r>
    </w:p>
    <w:p>
      <w:pPr>
        <w:pStyle w:val="ListNumber"/>
      </w:pPr>
      <w:r>
        <w:t>Какие данные считаются служебными, конфиденциальными или доступными для межорганизационного сравнения?</w:t>
      </w:r>
    </w:p>
    <w:p>
      <w:pPr>
        <w:pStyle w:val="Heading1"/>
      </w:pPr>
      <w:r>
        <w:t>17. Итоговая рекомендация</w:t>
      </w:r>
    </w:p>
    <w:p>
      <w:r>
        <w:t>Целевую модель рекомендуется строить как RBAC с организационным scope, а не как перечень жёстких должностных ролей. Базовая роль определяет функциональные действия; организационный уровень — Министерство, ОМСУ или РСО; scope определяет конкретные территории, организации и объекты. Состояние объекта дополнительно ограничивает разрешённые операции.</w:t>
      </w:r>
    </w:p>
    <w:p>
      <w:pPr>
        <w:jc w:val="center"/>
      </w:pPr>
      <w:r>
        <w:rPr>
          <w:b/>
          <w:color w:val="17365D"/>
          <w:sz w:val="24"/>
        </w:rPr>
        <w:t>Базовая роль × организационный уровень × область доступа × стадия согласования</w:t>
      </w:r>
    </w:p>
    <w:p>
      <w:r>
        <w:t>Такая модель обеспечивает минимальные полномочия, защищает данные разных РСО, поддерживает управленческую иерархию, позволяет развивать KPI и новые источники данных без постоянного создания новых ролей.</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Концепция RBAC для модуля аналитики РСО • Министерство энергетики Московской области</w:t>
    </w:r>
    <w:r>
      <w:rPr>
        <w:sz w:val="16"/>
      </w:rPr>
      <w:t>Концепция RBAC для модуля аналитики РСО • Министерство энергетики Московской области</w:t>
    </w:r>
    <w:r>
      <w:rPr>
        <w:sz w:val="16"/>
      </w:rPr>
      <w:t>Концепция RBAC для модуля аналитики РСО • Министерство энергетики Московской области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