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rial" w:hAnsi="Arial"/>
          <w:b/>
          <w:color w:val="163752"/>
          <w:sz w:val="34"/>
        </w:rPr>
        <w:t>СХЕМА ИНФОРМАЦИОННОГО ВЗАИМОДЕЙСТВИЯ</w:t>
      </w:r>
    </w:p>
    <w:p>
      <w:pPr>
        <w:spacing w:after="160"/>
        <w:jc w:val="center"/>
      </w:pPr>
      <w:r>
        <w:rPr>
          <w:color w:val="506473"/>
          <w:sz w:val="20"/>
        </w:rPr>
        <w:t>Система «ОСВ / Анализ ФХД» · внешние системы, потоки и хранилища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  <w:gridCol w:w="5103"/>
      </w:tblGrid>
      <w:tr>
        <w:tc>
          <w:tcPr>
            <w:tcW w:type="dxa" w:w="2835"/>
            <w:shd w:fill="183A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ВНЕШНЯЯ СИСТЕМА / УЧАСТНИК</w:t>
            </w:r>
          </w:p>
        </w:tc>
        <w:tc>
          <w:tcPr>
            <w:tcW w:type="dxa" w:w="8504"/>
            <w:shd w:fill="183A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НАПРАВЛЕНИЕ И СОСТАВ ПЕРЕДАВАЕМЫХ ДАННЫХ</w:t>
            </w:r>
          </w:p>
        </w:tc>
        <w:tc>
          <w:tcPr>
            <w:tcW w:type="dxa" w:w="3402"/>
            <w:shd w:fill="183A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УЗЕЛ СИСТЕМЫ</w:t>
            </w:r>
          </w:p>
        </w:tc>
      </w:tr>
      <w:tr>
        <w:tc>
          <w:tcPr>
            <w:tcW w:type="dxa" w:w="2835"/>
            <w:shd w:fill="F0F5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94C6A"/>
                <w:sz w:val="18"/>
              </w:rPr>
              <w:t>ПОЛЬЗОВАТЕЛИ</w:t>
            </w:r>
          </w:p>
        </w:tc>
        <w:tc>
          <w:tcPr>
            <w:tcW w:type="dxa" w:w="8504"/>
            <w:shd w:fill="F0F5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73A49"/>
                <w:sz w:val="17"/>
              </w:rPr>
              <w:t>Пользователь ⇄ веб-приложение</w:t>
              <w:br/>
              <w:t>Вход, выбор предприятия, загрузка XLS/XLSX/ZIP; просмотр показателей, отчётов и статусов.</w:t>
            </w:r>
          </w:p>
        </w:tc>
        <w:tc>
          <w:tcPr>
            <w:tcW w:type="dxa" w:w="3402"/>
            <w:shd w:fill="F0F5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315B45"/>
                <w:sz w:val="17"/>
              </w:rPr>
              <w:t>ВЕБ-ИНТЕРФЕЙС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94C6A"/>
                <w:sz w:val="18"/>
              </w:rPr>
              <w:t>1С ПРЕДПРИЯТИЯ</w:t>
            </w:r>
          </w:p>
        </w:tc>
        <w:tc>
          <w:tcPr>
            <w:tcW w:type="dxa" w:w="8504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73A49"/>
                <w:sz w:val="17"/>
              </w:rPr>
              <w:t>1С → API-приёмник системы</w:t>
              <w:br/>
              <w:t>HTTPS, JSON, отдельный канал предприятия; приём учётных данных и ответ о результате обработки.</w:t>
            </w:r>
          </w:p>
        </w:tc>
        <w:tc>
          <w:tcPr>
            <w:tcW w:type="dxa" w:w="3402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315B45"/>
                <w:sz w:val="17"/>
              </w:rPr>
              <w:t>API ПРИЁМНИК 1С</w:t>
            </w:r>
          </w:p>
        </w:tc>
      </w:tr>
      <w:tr>
        <w:tc>
          <w:tcPr>
            <w:tcW w:type="dxa" w:w="2835"/>
            <w:shd w:fill="F0F5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94C6A"/>
                <w:sz w:val="18"/>
              </w:rPr>
              <w:t>ПОЧТА IMAP</w:t>
            </w:r>
          </w:p>
        </w:tc>
        <w:tc>
          <w:tcPr>
            <w:tcW w:type="dxa" w:w="8504"/>
            <w:shd w:fill="F0F5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73A49"/>
                <w:sz w:val="17"/>
              </w:rPr>
              <w:t>Почтовый сервер → система</w:t>
              <w:br/>
              <w:t>Фоновая проверка почтового ящика; получение писем и вложений по настроенным правилам.</w:t>
            </w:r>
          </w:p>
        </w:tc>
        <w:tc>
          <w:tcPr>
            <w:tcW w:type="dxa" w:w="3402"/>
            <w:shd w:fill="F0F5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315B45"/>
                <w:sz w:val="17"/>
              </w:rPr>
              <w:t>ФОНОВАЯ ЗАГРУЗКА ОСВ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94C6A"/>
                <w:sz w:val="18"/>
              </w:rPr>
              <w:t>DaData</w:t>
            </w:r>
          </w:p>
        </w:tc>
        <w:tc>
          <w:tcPr>
            <w:tcW w:type="dxa" w:w="8504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73A49"/>
                <w:sz w:val="17"/>
              </w:rPr>
              <w:t>Система ⇄ DaData</w:t>
              <w:br/>
              <w:t>Запрос по ИНН/ОГРН; получение сведений об организации для просмотра и подтверждения в справочнике.</w:t>
            </w:r>
          </w:p>
        </w:tc>
        <w:tc>
          <w:tcPr>
            <w:tcW w:type="dxa" w:w="3402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315B45"/>
                <w:sz w:val="17"/>
              </w:rPr>
              <w:t>СПРАВОЧНИК ПРЕДПРИЯТИЙ</w:t>
            </w:r>
          </w:p>
        </w:tc>
      </w:tr>
      <w:tr>
        <w:tc>
          <w:tcPr>
            <w:tcW w:type="dxa" w:w="2835"/>
            <w:shd w:fill="F0F5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94C6A"/>
                <w:sz w:val="18"/>
              </w:rPr>
              <w:t>AI-ПРОВАЙДЕР</w:t>
            </w:r>
          </w:p>
        </w:tc>
        <w:tc>
          <w:tcPr>
            <w:tcW w:type="dxa" w:w="8504"/>
            <w:shd w:fill="F0F5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73A49"/>
                <w:sz w:val="17"/>
              </w:rPr>
              <w:t>Система ⇄ настроенный AI-провайдер</w:t>
              <w:br/>
              <w:t>Передача запроса/контекста анализа; получение текста ответа или сводки. Интеграция включается настройками.</w:t>
            </w:r>
          </w:p>
        </w:tc>
        <w:tc>
          <w:tcPr>
            <w:tcW w:type="dxa" w:w="3402"/>
            <w:shd w:fill="F0F5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315B45"/>
                <w:sz w:val="17"/>
              </w:rPr>
              <w:t>АНАЛИЗ ФХД / ДОКУМЕНТЫ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94C6A"/>
                <w:sz w:val="18"/>
              </w:rPr>
              <w:t>MAX API</w:t>
            </w:r>
          </w:p>
        </w:tc>
        <w:tc>
          <w:tcPr>
            <w:tcW w:type="dxa" w:w="8504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73A49"/>
                <w:sz w:val="17"/>
              </w:rPr>
              <w:t>Пользователь MAX ⇄ бот системы ⇄ MAX API</w:t>
              <w:br/>
              <w:t>Получение обновлений и команд; отправка сообщений/уведомлений по модулю лимитов.</w:t>
            </w:r>
          </w:p>
        </w:tc>
        <w:tc>
          <w:tcPr>
            <w:tcW w:type="dxa" w:w="3402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315B45"/>
                <w:sz w:val="17"/>
              </w:rPr>
              <w:t>МОДУЛЬ ЛИМИТОВ</w:t>
            </w:r>
          </w:p>
        </w:tc>
      </w:tr>
      <w:tr>
        <w:tc>
          <w:tcPr>
            <w:tcW w:type="dxa" w:w="2835"/>
            <w:shd w:fill="F0F5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94C6A"/>
                <w:sz w:val="18"/>
              </w:rPr>
              <w:t>PostgreSQL</w:t>
            </w:r>
          </w:p>
        </w:tc>
        <w:tc>
          <w:tcPr>
            <w:tcW w:type="dxa" w:w="8504"/>
            <w:shd w:fill="F0F5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73A49"/>
                <w:sz w:val="17"/>
              </w:rPr>
              <w:t>Приложение ⇄ база данных</w:t>
              <w:br/>
              <w:t>Предприятия и справочные сведения, права доступа, загрузки, настройки, результаты разбора и расчётные данные.</w:t>
            </w:r>
          </w:p>
        </w:tc>
        <w:tc>
          <w:tcPr>
            <w:tcW w:type="dxa" w:w="3402"/>
            <w:shd w:fill="F0F5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315B45"/>
                <w:sz w:val="17"/>
              </w:rPr>
              <w:t>ОСНОВНОЕ ХРАНИЛИЩЕ ДАННЫХ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94C6A"/>
                <w:sz w:val="18"/>
              </w:rPr>
              <w:t>ФАЙЛЫ ПРИЛОЖЕНИЯ</w:t>
            </w:r>
          </w:p>
        </w:tc>
        <w:tc>
          <w:tcPr>
            <w:tcW w:type="dxa" w:w="8504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73A49"/>
                <w:sz w:val="17"/>
              </w:rPr>
              <w:t>Приложение ⇄ файловые каталоги</w:t>
              <w:br/>
              <w:t>Исходные загрузки, контрольные файлы, документы и сформированные отчёты (uploads/ и output/).</w:t>
            </w:r>
          </w:p>
        </w:tc>
        <w:tc>
          <w:tcPr>
            <w:tcW w:type="dxa" w:w="3402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315B45"/>
                <w:sz w:val="17"/>
              </w:rPr>
              <w:t>ФАЙЛОВОЕ ХРАНИЛИЩЕ</w:t>
            </w:r>
          </w:p>
        </w:tc>
      </w:tr>
      <w:tr>
        <w:tc>
          <w:tcPr>
            <w:tcW w:type="dxa" w:w="2835"/>
            <w:shd w:fill="F0F5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94C6A"/>
                <w:sz w:val="18"/>
              </w:rPr>
              <w:t>Replit App Storage</w:t>
            </w:r>
          </w:p>
        </w:tc>
        <w:tc>
          <w:tcPr>
            <w:tcW w:type="dxa" w:w="8504"/>
            <w:shd w:fill="F0F5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73A49"/>
                <w:sz w:val="17"/>
              </w:rPr>
              <w:t>Система → App Storage: версии резервных снимков</w:t>
              <w:br/>
              <w:t>В снимках сохраняются данные БД и файлы; при восстановлении данные читаются обратно.</w:t>
            </w:r>
          </w:p>
        </w:tc>
        <w:tc>
          <w:tcPr>
            <w:tcW w:type="dxa" w:w="3402"/>
            <w:shd w:fill="F0F5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315B45"/>
                <w:sz w:val="17"/>
              </w:rPr>
              <w:t>РЕЗЕРВНОЕ ХРАНИЛИЩЕ</w:t>
            </w:r>
          </w:p>
        </w:tc>
      </w:tr>
    </w:tbl>
    <w:p>
      <w:pPr>
        <w:spacing w:before="140" w:after="40"/>
      </w:pPr>
      <w:r>
        <w:rPr>
          <w:b/>
          <w:color w:val="163752"/>
          <w:sz w:val="20"/>
        </w:rPr>
        <w:t>Примечания</w:t>
      </w:r>
    </w:p>
    <w:p>
      <w:pPr>
        <w:spacing w:after="20"/>
        <w:ind w:left="142"/>
      </w:pPr>
      <w:r>
        <w:t>• Справочник предприятий общий: аналитические данные ФХД связаны с теми же предприятиями, что и другие модули системы.</w:t>
      </w:r>
    </w:p>
    <w:p>
      <w:pPr>
        <w:spacing w:after="20"/>
        <w:ind w:left="142"/>
      </w:pPr>
      <w:r>
        <w:t>• Сплошной факт по коду: перечисленные интерфейсы и обработчики присутствуют в проекте. Реальные адреса, доступность и активность интеграций зависят от настроек и требуют отдельной проверки на рабочей среде.</w:t>
      </w:r>
    </w:p>
    <w:p>
      <w:pPr>
        <w:spacing w:after="20"/>
        <w:ind w:left="142"/>
      </w:pPr>
      <w:r>
        <w:t>• В схеме не указаны токены, пароли, адреса серверов и другие секреты.</w:t>
      </w:r>
    </w:p>
    <w:sectPr w:rsidR="00FC693F" w:rsidRPr="0006063C" w:rsidSect="00034616">
      <w:footerReference w:type="default" r:id="rId9"/>
      <w:pgSz w:w="16838" w:h="11906" w:orient="landscape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7882"/>
        <w:sz w:val="16"/>
      </w:rPr>
      <w:t>Схема составлена по исходному коду проекта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