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Arial" w:hAnsi="Arial"/>
          <w:b/>
          <w:color w:val="1F4E79"/>
          <w:sz w:val="32"/>
        </w:rPr>
        <w:t>Функции системы по модулям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11808"/>
      </w:tblGrid>
      <w:tr>
        <w:trPr>
          <w:tblHeader w:val="true"/>
        </w:trPr>
        <w:tc>
          <w:tcPr>
            <w:tcW w:type="dxa" w:w="3384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Наименование подсистемы (модуля)</w:t>
            </w:r>
          </w:p>
        </w:tc>
        <w:tc>
          <w:tcPr>
            <w:tcW w:type="dxa" w:w="11808"/>
            <w:vAlign w:val="center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Наименование функции системы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Аналитика ФХД РСО</w:t>
            </w:r>
          </w:p>
        </w:tc>
        <w:tc>
          <w:tcPr>
            <w:tcW w:type="dxa" w:w="118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ListBullet"/>
              <w:spacing w:after="20" w:line="240" w:lineRule="auto"/>
              <w:ind w:left="288" w:hanging="173"/>
            </w:pPr>
            <w:r>
              <w:rPr>
                <w:rFonts w:ascii="Arial" w:hAnsi="Arial"/>
                <w:sz w:val="17"/>
              </w:rPr>
              <w:t>Формирование сводной аналитики по предприятиям и финансовому портфелю.</w:t>
            </w:r>
          </w:p>
          <w:p>
            <w:pPr>
              <w:pStyle w:val="ListBullet"/>
              <w:spacing w:after="20" w:line="240" w:lineRule="auto"/>
              <w:ind w:left="288" w:hanging="173"/>
            </w:pPr>
            <w:r>
              <w:rPr>
                <w:rFonts w:ascii="Arial" w:hAnsi="Arial"/>
                <w:sz w:val="17"/>
              </w:rPr>
              <w:t>Загрузка и обработка оборотно-сальдовых ведомостей 1С, включая пакетную загрузку файлов.</w:t>
            </w:r>
          </w:p>
          <w:p>
            <w:pPr>
              <w:pStyle w:val="ListBullet"/>
              <w:spacing w:after="20" w:line="240" w:lineRule="auto"/>
              <w:ind w:left="288" w:hanging="173"/>
            </w:pPr>
            <w:r>
              <w:rPr>
                <w:rFonts w:ascii="Arial" w:hAnsi="Arial"/>
                <w:sz w:val="17"/>
              </w:rPr>
              <w:t>Просмотр финансового дашборда предприятия: выручка, расходы, прибыль, денежные средства, дебиторская и кредиторская задолженность, налоги и оплата труда.</w:t>
            </w:r>
          </w:p>
          <w:p>
            <w:pPr>
              <w:pStyle w:val="ListBullet"/>
              <w:spacing w:after="20" w:line="240" w:lineRule="auto"/>
              <w:ind w:left="288" w:hanging="173"/>
            </w:pPr>
            <w:r>
              <w:rPr>
                <w:rFonts w:ascii="Arial" w:hAnsi="Arial"/>
                <w:sz w:val="17"/>
              </w:rPr>
              <w:t>Просмотр основных показателей деятельности, динамики за выбранный период, рекомендаций и аналитического отчёта с применением ИИ.</w:t>
            </w:r>
          </w:p>
          <w:p>
            <w:pPr>
              <w:pStyle w:val="ListBullet"/>
              <w:spacing w:after="20" w:line="240" w:lineRule="auto"/>
              <w:ind w:left="288" w:hanging="173"/>
            </w:pPr>
            <w:r>
              <w:rPr>
                <w:rFonts w:ascii="Arial" w:hAnsi="Arial"/>
                <w:sz w:val="17"/>
              </w:rPr>
              <w:t>Анализ годовых финансовых показателей и исторических данных; просмотр источников и полноты данных.</w:t>
            </w:r>
          </w:p>
          <w:p>
            <w:pPr>
              <w:pStyle w:val="ListBullet"/>
              <w:spacing w:after="20" w:line="240" w:lineRule="auto"/>
              <w:ind w:left="288" w:hanging="173"/>
            </w:pPr>
            <w:r>
              <w:rPr>
                <w:rFonts w:ascii="Arial" w:hAnsi="Arial"/>
                <w:sz w:val="17"/>
              </w:rPr>
              <w:t>Сравнение предприятий и просмотр рейтингов по финансовым показателям.</w:t>
            </w:r>
          </w:p>
          <w:p>
            <w:pPr>
              <w:pStyle w:val="ListBullet"/>
              <w:spacing w:after="20" w:line="240" w:lineRule="auto"/>
              <w:ind w:left="288" w:hanging="173"/>
            </w:pPr>
            <w:r>
              <w:rPr>
                <w:rFonts w:ascii="Arial" w:hAnsi="Arial"/>
                <w:sz w:val="17"/>
              </w:rPr>
              <w:t>Настройка профилей рейтинга и сопоставлений аналитик ОСВ.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Проверка документов</w:t>
            </w:r>
          </w:p>
        </w:tc>
        <w:tc>
          <w:tcPr>
            <w:tcW w:type="dxa" w:w="118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ListBullet"/>
              <w:spacing w:after="20" w:line="240" w:lineRule="auto"/>
              <w:ind w:left="288" w:hanging="173"/>
            </w:pPr>
            <w:r>
              <w:rPr>
                <w:rFonts w:ascii="Arial" w:hAnsi="Arial"/>
                <w:sz w:val="17"/>
              </w:rPr>
              <w:t>Загрузка документов пакетами и просмотр хода обработки.</w:t>
            </w:r>
          </w:p>
          <w:p>
            <w:pPr>
              <w:pStyle w:val="ListBullet"/>
              <w:spacing w:after="20" w:line="240" w:lineRule="auto"/>
              <w:ind w:left="288" w:hanging="173"/>
            </w:pPr>
            <w:r>
              <w:rPr>
                <w:rFonts w:ascii="Arial" w:hAnsi="Arial"/>
                <w:sz w:val="17"/>
              </w:rPr>
              <w:t>Распределение файлов по каталогам вручную или по настроенным правилам маршрутизации.</w:t>
            </w:r>
          </w:p>
          <w:p>
            <w:pPr>
              <w:pStyle w:val="ListBullet"/>
              <w:spacing w:after="20" w:line="240" w:lineRule="auto"/>
              <w:ind w:left="288" w:hanging="173"/>
            </w:pPr>
            <w:r>
              <w:rPr>
                <w:rFonts w:ascii="Arial" w:hAnsi="Arial"/>
                <w:sz w:val="17"/>
              </w:rPr>
              <w:t>Проверка документов по правилам и шаблонам анализа; поиск дат, подписей и печатей.</w:t>
            </w:r>
          </w:p>
          <w:p>
            <w:pPr>
              <w:pStyle w:val="ListBullet"/>
              <w:spacing w:after="20" w:line="240" w:lineRule="auto"/>
              <w:ind w:left="288" w:hanging="173"/>
            </w:pPr>
            <w:r>
              <w:rPr>
                <w:rFonts w:ascii="Arial" w:hAnsi="Arial"/>
                <w:sz w:val="17"/>
              </w:rPr>
              <w:t>Просмотр страниц документов, результатов проверки и выявленных замечаний.</w:t>
            </w:r>
          </w:p>
          <w:p>
            <w:pPr>
              <w:pStyle w:val="ListBullet"/>
              <w:spacing w:after="20" w:line="240" w:lineRule="auto"/>
              <w:ind w:left="288" w:hanging="173"/>
            </w:pPr>
            <w:r>
              <w:rPr>
                <w:rFonts w:ascii="Arial" w:hAnsi="Arial"/>
                <w:sz w:val="17"/>
              </w:rPr>
              <w:t>Согласование документов, добавление отметок и фиксация статусов.</w:t>
            </w:r>
          </w:p>
          <w:p>
            <w:pPr>
              <w:pStyle w:val="ListBullet"/>
              <w:spacing w:after="20" w:line="240" w:lineRule="auto"/>
              <w:ind w:left="288" w:hanging="173"/>
            </w:pPr>
            <w:r>
              <w:rPr>
                <w:rFonts w:ascii="Arial" w:hAnsi="Arial"/>
                <w:sz w:val="17"/>
              </w:rPr>
              <w:t>Настройка каталогов, правил маршрутизации, правил проверки и шаблонов анализа.</w:t>
            </w:r>
          </w:p>
          <w:p>
            <w:pPr>
              <w:pStyle w:val="ListBullet"/>
              <w:spacing w:after="20" w:line="240" w:lineRule="auto"/>
              <w:ind w:left="288" w:hanging="173"/>
            </w:pPr>
            <w:r>
              <w:rPr>
                <w:rFonts w:ascii="Arial" w:hAnsi="Arial"/>
                <w:sz w:val="17"/>
              </w:rPr>
              <w:t>Формирование отчётов по пакету и выгрузка результатов в Excel.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Справочники</w:t>
            </w:r>
          </w:p>
        </w:tc>
        <w:tc>
          <w:tcPr>
            <w:tcW w:type="dxa" w:w="118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ListBullet"/>
              <w:spacing w:after="20" w:line="240" w:lineRule="auto"/>
              <w:ind w:left="288" w:hanging="173"/>
            </w:pPr>
            <w:r>
              <w:rPr>
                <w:rFonts w:ascii="Arial" w:hAnsi="Arial"/>
                <w:sz w:val="17"/>
              </w:rPr>
              <w:t>Ведение единого справочника предприятий: создание, просмотр, редактирование и архивирование записей.</w:t>
            </w:r>
          </w:p>
          <w:p>
            <w:pPr>
              <w:pStyle w:val="ListBullet"/>
              <w:spacing w:after="20" w:line="240" w:lineRule="auto"/>
              <w:ind w:left="288" w:hanging="173"/>
            </w:pPr>
            <w:r>
              <w:rPr>
                <w:rFonts w:ascii="Arial" w:hAnsi="Arial"/>
                <w:sz w:val="17"/>
              </w:rPr>
              <w:t>Хранение реквизитов, статусов, типов организаций, контактных данных и внутренних примечаний.</w:t>
            </w:r>
          </w:p>
          <w:p>
            <w:pPr>
              <w:pStyle w:val="ListBullet"/>
              <w:spacing w:after="20" w:line="240" w:lineRule="auto"/>
              <w:ind w:left="288" w:hanging="173"/>
            </w:pPr>
            <w:r>
              <w:rPr>
                <w:rFonts w:ascii="Arial" w:hAnsi="Arial"/>
                <w:sz w:val="17"/>
              </w:rPr>
              <w:t>Получение сведений о предприятии из внешнего справочника, просмотр предложенных изменений и их подтверждение.</w:t>
            </w:r>
          </w:p>
          <w:p>
            <w:pPr>
              <w:pStyle w:val="ListBullet"/>
              <w:spacing w:after="20" w:line="240" w:lineRule="auto"/>
              <w:ind w:left="288" w:hanging="173"/>
            </w:pPr>
            <w:r>
              <w:rPr>
                <w:rFonts w:ascii="Arial" w:hAnsi="Arial"/>
                <w:sz w:val="17"/>
              </w:rPr>
              <w:t>Просмотр связанных данных предприятия, истории обновлений и назначенных пользователей.</w:t>
            </w:r>
          </w:p>
          <w:p>
            <w:pPr>
              <w:pStyle w:val="ListBullet"/>
              <w:spacing w:after="20" w:line="240" w:lineRule="auto"/>
              <w:ind w:left="288" w:hanging="173"/>
            </w:pPr>
            <w:r>
              <w:rPr>
                <w:rFonts w:ascii="Arial" w:hAnsi="Arial"/>
                <w:sz w:val="17"/>
              </w:rPr>
              <w:t>Выгрузка реестра предприятий и предоставление данных через API.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Поиск объектов аналогов</w:t>
            </w:r>
          </w:p>
        </w:tc>
        <w:tc>
          <w:tcPr>
            <w:tcW w:type="dxa" w:w="118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ListBullet"/>
              <w:spacing w:after="20" w:line="240" w:lineRule="auto"/>
              <w:ind w:left="288" w:hanging="173"/>
            </w:pPr>
            <w:r>
              <w:rPr>
                <w:rFonts w:ascii="Arial" w:hAnsi="Arial"/>
                <w:sz w:val="17"/>
              </w:rPr>
              <w:t>Поиск объектов-аналогов теплоснабжения в базе прошедших экспертизу объектов.</w:t>
            </w:r>
          </w:p>
          <w:p>
            <w:pPr>
              <w:pStyle w:val="ListBullet"/>
              <w:spacing w:after="20" w:line="240" w:lineRule="auto"/>
              <w:ind w:left="288" w:hanging="173"/>
            </w:pPr>
            <w:r>
              <w:rPr>
                <w:rFonts w:ascii="Arial" w:hAnsi="Arial"/>
                <w:sz w:val="17"/>
              </w:rPr>
              <w:t>Подбор и ранжирование результатов по типу работ, мощности, климатическим и техническим условиям, стоимости и другим параметрам.</w:t>
            </w:r>
          </w:p>
          <w:p>
            <w:pPr>
              <w:pStyle w:val="ListBullet"/>
              <w:spacing w:after="20" w:line="240" w:lineRule="auto"/>
              <w:ind w:left="288" w:hanging="173"/>
            </w:pPr>
            <w:r>
              <w:rPr>
                <w:rFonts w:ascii="Arial" w:hAnsi="Arial"/>
                <w:sz w:val="17"/>
              </w:rPr>
              <w:t>Проверка соответствия обязательным критериям и просмотр причин несоответствия.</w:t>
            </w:r>
          </w:p>
          <w:p>
            <w:pPr>
              <w:pStyle w:val="ListBullet"/>
              <w:spacing w:after="20" w:line="240" w:lineRule="auto"/>
              <w:ind w:left="288" w:hanging="173"/>
            </w:pPr>
            <w:r>
              <w:rPr>
                <w:rFonts w:ascii="Arial" w:hAnsi="Arial"/>
                <w:sz w:val="17"/>
              </w:rPr>
              <w:t>Просмотр паспорта объекта, его характеристик, исходных документов и версий сметной стоимости.</w:t>
            </w:r>
          </w:p>
          <w:p>
            <w:pPr>
              <w:pStyle w:val="ListBullet"/>
              <w:spacing w:after="20" w:line="240" w:lineRule="auto"/>
              <w:ind w:left="288" w:hanging="173"/>
            </w:pPr>
            <w:r>
              <w:rPr>
                <w:rFonts w:ascii="Arial" w:hAnsi="Arial"/>
                <w:sz w:val="17"/>
              </w:rPr>
              <w:t>Пересчёт стоимости с использованием помесячных индексов.</w:t>
            </w:r>
          </w:p>
          <w:p>
            <w:pPr>
              <w:pStyle w:val="ListBullet"/>
              <w:spacing w:after="20" w:line="240" w:lineRule="auto"/>
              <w:ind w:left="288" w:hanging="173"/>
            </w:pPr>
            <w:r>
              <w:rPr>
                <w:rFonts w:ascii="Arial" w:hAnsi="Arial"/>
                <w:sz w:val="17"/>
              </w:rPr>
              <w:t>Выгрузка сметной оценки в Excel; управление записями и подтверждение климатических данных.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Лимиты</w:t>
            </w:r>
          </w:p>
        </w:tc>
        <w:tc>
          <w:tcPr>
            <w:tcW w:type="dxa" w:w="118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ListBullet"/>
              <w:spacing w:after="20" w:line="240" w:lineRule="auto"/>
              <w:ind w:left="288" w:hanging="173"/>
            </w:pPr>
            <w:r>
              <w:rPr>
                <w:rFonts w:ascii="Arial" w:hAnsi="Arial"/>
                <w:sz w:val="17"/>
              </w:rPr>
              <w:t>Загрузка файлов XLSX с данными финансирования и ведение версий загруженных срезов.</w:t>
            </w:r>
          </w:p>
          <w:p>
            <w:pPr>
              <w:pStyle w:val="ListBullet"/>
              <w:spacing w:after="20" w:line="240" w:lineRule="auto"/>
              <w:ind w:left="288" w:hanging="173"/>
            </w:pPr>
            <w:r>
              <w:rPr>
                <w:rFonts w:ascii="Arial" w:hAnsi="Arial"/>
                <w:sz w:val="17"/>
              </w:rPr>
              <w:t>Проверка обработки файлов, просмотр ошибок и неоднозначностей, повторный запуск или возобновление обработки.</w:t>
            </w:r>
          </w:p>
          <w:p>
            <w:pPr>
              <w:pStyle w:val="ListBullet"/>
              <w:spacing w:after="20" w:line="240" w:lineRule="auto"/>
              <w:ind w:left="288" w:hanging="173"/>
            </w:pPr>
            <w:r>
              <w:rPr>
                <w:rFonts w:ascii="Arial" w:hAnsi="Arial"/>
                <w:sz w:val="17"/>
              </w:rPr>
              <w:t>Просмотр реестра объектов и карточек объектов, включая УИН, сведения о мероприятиях и историю изменений.</w:t>
            </w:r>
          </w:p>
          <w:p>
            <w:pPr>
              <w:pStyle w:val="ListBullet"/>
              <w:spacing w:after="20" w:line="240" w:lineRule="auto"/>
              <w:ind w:left="288" w:hanging="173"/>
            </w:pPr>
            <w:r>
              <w:rPr>
                <w:rFonts w:ascii="Arial" w:hAnsi="Arial"/>
                <w:sz w:val="17"/>
              </w:rPr>
              <w:t>Сравнение версий лимитов: просмотр изменений и расхождений, разрешение неоднозначных сопоставлений.</w:t>
            </w:r>
          </w:p>
          <w:p>
            <w:pPr>
              <w:pStyle w:val="ListBullet"/>
              <w:spacing w:after="20" w:line="240" w:lineRule="auto"/>
              <w:ind w:left="288" w:hanging="173"/>
            </w:pPr>
            <w:r>
              <w:rPr>
                <w:rFonts w:ascii="Arial" w:hAnsi="Arial"/>
                <w:sz w:val="17"/>
              </w:rPr>
              <w:t>Просмотр аналитики и динамики показателей по загруженным версиям.</w:t>
            </w:r>
          </w:p>
          <w:p>
            <w:pPr>
              <w:pStyle w:val="ListBullet"/>
              <w:spacing w:after="20" w:line="240" w:lineRule="auto"/>
              <w:ind w:left="288" w:hanging="173"/>
            </w:pPr>
            <w:r>
              <w:rPr>
                <w:rFonts w:ascii="Arial" w:hAnsi="Arial"/>
                <w:sz w:val="17"/>
              </w:rPr>
              <w:t>Выгрузка результатов сравнения в Excel.</w:t>
            </w:r>
          </w:p>
          <w:p>
            <w:pPr>
              <w:pStyle w:val="ListBullet"/>
              <w:spacing w:after="20" w:line="240" w:lineRule="auto"/>
              <w:ind w:left="288" w:hanging="173"/>
            </w:pPr>
            <w:r>
              <w:rPr>
                <w:rFonts w:ascii="Arial" w:hAnsi="Arial"/>
                <w:sz w:val="17"/>
              </w:rPr>
              <w:t>Настройка и управление ботом MAX для уведомлений об изменениях, включая рассылку и модерацию заявок на доступ.</w:t>
            </w:r>
          </w:p>
        </w:tc>
      </w:tr>
    </w:tbl>
    <w:sectPr w:rsidR="00FC693F" w:rsidRPr="0006063C" w:rsidSect="00034616">
      <w:pgSz w:w="16834" w:h="11909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