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9.png" ContentType="image/png"/>
  <Override PartName="/word/media/rId43.png" ContentType="image/png"/>
  <Override PartName="/word/media/rId55.png" ContentType="image/png"/>
  <Override PartName="/word/media/rId20.png" ContentType="image/png"/>
  <Override PartName="/word/media/rId25.png" ContentType="image/png"/>
  <Override PartName="/word/media/rId29.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Northwest</w:t>
      </w:r>
      <w:r>
        <w:t xml:space="preserve"> </w:t>
      </w:r>
      <w:r>
        <w:t xml:space="preserve">Syria</w:t>
      </w:r>
      <w:r>
        <w:t xml:space="preserve"> </w:t>
      </w:r>
      <w:r>
        <w:t xml:space="preserve">Cash</w:t>
      </w:r>
      <w:r>
        <w:t xml:space="preserve"> </w:t>
      </w:r>
      <w:r>
        <w:t xml:space="preserve">Working</w:t>
      </w:r>
      <w:r>
        <w:t xml:space="preserve"> </w:t>
      </w:r>
      <w:r>
        <w:t xml:space="preserve">Group</w:t>
      </w:r>
      <w:r>
        <w:t xml:space="preserve"> </w:t>
      </w:r>
      <w:r>
        <w:t xml:space="preserve">Earthquake</w:t>
      </w:r>
      <w:r>
        <w:t xml:space="preserve"> </w:t>
      </w:r>
      <w:r>
        <w:t xml:space="preserve">Response</w:t>
      </w:r>
      <w:r>
        <w:t xml:space="preserve"> </w:t>
      </w:r>
      <w:r>
        <w:t xml:space="preserve">Bulletin</w:t>
      </w:r>
    </w:p>
    <w:p>
      <w:pPr>
        <w:pStyle w:val="Date"/>
      </w:pPr>
      <w:r>
        <w:t xml:space="preserve">13</w:t>
      </w:r>
      <w:r>
        <w:t xml:space="preserve"> </w:t>
      </w: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4" w:name="mpc-response-overview"/>
    <w:p>
      <w:pPr>
        <w:pStyle w:val="Heading1"/>
      </w:pPr>
      <w:r>
        <w:t xml:space="preserve">1. MPC response overview</w:t>
      </w:r>
    </w:p>
    <w:p>
      <w:pPr>
        <w:pStyle w:val="FirstParagraph"/>
      </w:pPr>
      <w:r>
        <w:t xml:space="preserve">As of 11 April 2023, a total of 448,317 persons or 90,324 families have been reached by MPC interventions.</w:t>
      </w:r>
      <w:r>
        <w:t xml:space="preserve"> </w:t>
      </w:r>
      <w:r>
        <w:t xml:space="preserve">A total of USD 13.3 million has been disbursed by 17 implementing agencies across 28 sub-districts.</w:t>
      </w:r>
    </w:p>
    <w:p>
      <w:pPr>
        <w:pStyle w:val="BodyText"/>
      </w:pPr>
      <w:r>
        <w:t xml:space="preserve">With only certain exceptions (such as activities specified as non-MPC cash-for-food), only beneficiaries who have received at least USD 100/family/month have been included.</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448,000 people reached with MPC, USD 13.3 million disbursed, 11 April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governorate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households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b</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3,726,192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Jebel Saman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1,380,550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6,273,250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448,317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13,259,772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percentage of all MPC beneficiaries reached in NW Syria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177,525 beneficiaries were reached in February 2023 and 200,330 were reached in March 2023. 52,252 have been reached so far in April 2023.Changes in numbers of persons reached were due to cleaning and verification of the dataset – this process is still ongoing and will only be completed once the CWG fully transitions to 4W reporting.</w:t>
      </w:r>
    </w:p>
    <w:p>
      <w:pPr>
        <w:pStyle w:val="BodyText"/>
      </w:pPr>
    </w:p>
    <w:bookmarkStart w:id="23" w:name="progress-by-date"/>
    <w:p>
      <w:pPr>
        <w:pStyle w:val="Heading2"/>
      </w:pPr>
      <w:r>
        <w:t xml:space="preserve">1.1 Progress by date</w:t>
      </w:r>
    </w:p>
    <w:p>
      <w:pPr>
        <w:pStyle w:val="FirstParagraph"/>
      </w:pPr>
      <w:r>
        <w:drawing>
          <wp:inline>
            <wp:extent cx="5334000" cy="3556000"/>
            <wp:effectExtent b="0" l="0" r="0" t="0"/>
            <wp:docPr descr="" title="" id="21" name="Picture"/>
            <a:graphic>
              <a:graphicData uri="http://schemas.openxmlformats.org/drawingml/2006/picture">
                <pic:pic>
                  <pic:nvPicPr>
                    <pic:cNvPr descr="cash_reporting_20230411_word_files/figure-docx/unnamed-chunk-3-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small number of beneficiaries reached earlier than February all pertained to the HRP, the only such beneficiaries reported so far. It is unclear if this is the extent of all January achievements.</w:t>
      </w:r>
    </w:p>
    <w:p>
      <w:pPr>
        <w:pStyle w:val="BodyText"/>
      </w:pPr>
    </w:p>
    <w:bookmarkEnd w:id="23"/>
    <w:bookmarkEnd w:id="24"/>
    <w:bookmarkStart w:id="28" w:name="map-of-activities"/>
    <w:p>
      <w:pPr>
        <w:pStyle w:val="Heading1"/>
      </w:pPr>
      <w:r>
        <w:t xml:space="preserve">2. Map of activities</w:t>
      </w:r>
    </w:p>
    <w:p>
      <w:pPr>
        <w:pStyle w:val="FirstParagraph"/>
      </w:pPr>
    </w:p>
    <w:p>
      <w:pPr>
        <w:pStyle w:val="BodyText"/>
      </w:pPr>
      <w:r>
        <w:drawing>
          <wp:inline>
            <wp:extent cx="5334000" cy="4148666"/>
            <wp:effectExtent b="0" l="0" r="0" t="0"/>
            <wp:docPr descr="" title="" id="26" name="Picture"/>
            <a:graphic>
              <a:graphicData uri="http://schemas.openxmlformats.org/drawingml/2006/picture">
                <pic:pic>
                  <pic:nvPicPr>
                    <pic:cNvPr descr="cash_reporting_20230411_word_files/figure-docx/unnamed-chunk-4-1.png" id="27" name="Picture"/>
                    <pic:cNvPicPr>
                      <a:picLocks noChangeArrowheads="1" noChangeAspect="1"/>
                    </pic:cNvPicPr>
                  </pic:nvPicPr>
                  <pic:blipFill>
                    <a:blip r:embed="rId2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p>
    <w:bookmarkEnd w:id="28"/>
    <w:bookmarkStart w:id="47" w:name="geographic-breakdown-of-beneficiaries"/>
    <w:p>
      <w:pPr>
        <w:pStyle w:val="Heading1"/>
      </w:pPr>
      <w:r>
        <w:t xml:space="preserve">3. Geographic breakdown of beneficiaries</w:t>
      </w:r>
    </w:p>
    <w:p>
      <w:pPr>
        <w:pStyle w:val="FirstParagraph"/>
      </w:pPr>
      <w:r>
        <w:t xml:space="preserve">Coverage continues to be highest in Afrin and Harim districts, which have been worst-hit by the earthquake.</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cash_reporting_20230411_word_files/figure-docx/unnamed-chunk-5-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Casualties and damaged houses, absolute figures and per 100,000 persons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governorate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wounded_dead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wounded_dead_100k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damaged_houses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damaged_houses_100k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Jebel Saman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591.18</w:t>
            </w:r>
          </w:p>
        </w:tc>
      </w:tr>
      <w:tr>
        <w:trPr>
          <w:trHeight w:val="360" w:hRule="auto"/>
        </w:trPr>
        footer1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from the Assistance Coordination Unit, Syria 20230328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Below is a breakdown of beneficiaries based on whether they originate from camps or villages: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More than twice as many beneficiaries from villages as from camps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village_camps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27.93</w:t>
            </w:r>
          </w:p>
        </w:tc>
      </w:tr>
    </w:tbl>
    <w:p>
      <w:pPr>
        <w:pStyle w:val="BodyText"/>
      </w:pPr>
    </w:p>
    <w:bookmarkStart w:id="35" w:name="by-sub-district"/>
    <w:p>
      <w:pPr>
        <w:pStyle w:val="Heading3"/>
      </w:pPr>
      <w:r>
        <w:t xml:space="preserve">3.1 By sub-district</w:t>
      </w:r>
    </w:p>
    <w:p>
      <w:pPr>
        <w:pStyle w:val="FirstParagraph"/>
      </w:pPr>
      <w:r>
        <w:t xml:space="preserve">The plots below show the breakdown of beneficiaries by sub-district. Caution must be taken to ensure that allocations are fair across the affected areas: there are numerous sub-districts where a very large proportion of the total population has already been reached by multi-purpose cash, in particular, Jandairis, Hairm, Salqin and Sharan.</w:t>
      </w:r>
    </w:p>
    <w:p>
      <w:pPr>
        <w:pStyle w:val="BodyText"/>
      </w:pPr>
      <w:r>
        <w:t xml:space="preserve">Response activities must be proportional with the magnitude and severity of earthquake damage. Overallocation deprives affected persons of the aid they are due.</w:t>
      </w:r>
    </w:p>
    <w:p>
      <w:pPr>
        <w:pStyle w:val="BodyText"/>
      </w:pPr>
      <w:r>
        <w:t xml:space="preserve">The average percentage of the population reached, of all sub-districts, is 10.63%.</w:t>
      </w:r>
    </w:p>
    <w:p>
      <w:pPr>
        <w:pStyle w:val="BodyText"/>
      </w:pPr>
    </w:p>
    <w:p>
      <w:pPr>
        <w:pStyle w:val="BodyText"/>
      </w:pPr>
      <w:r>
        <w:drawing>
          <wp:inline>
            <wp:extent cx="5334000" cy="4741333"/>
            <wp:effectExtent b="0" l="0" r="0" t="0"/>
            <wp:docPr descr="" title="" id="33" name="Picture"/>
            <a:graphic>
              <a:graphicData uri="http://schemas.openxmlformats.org/drawingml/2006/picture">
                <pic:pic>
                  <pic:nvPicPr>
                    <pic:cNvPr descr="cash_reporting_20230411_word_files/figure-docx/unnamed-chunk-8-1.png" id="34" name="Picture"/>
                    <pic:cNvPicPr>
                      <a:picLocks noChangeArrowheads="1" noChangeAspect="1"/>
                    </pic:cNvPicPr>
                  </pic:nvPicPr>
                  <pic:blipFill>
                    <a:blip r:embed="rId3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p>
    <w:bookmarkEnd w:id="35"/>
    <w:bookmarkStart w:id="42" w:name="X5b5a43c122a7c0d3117ef4210e4342918e65d69"/>
    <w:p>
      <w:pPr>
        <w:pStyle w:val="Heading3"/>
      </w:pPr>
      <w:r>
        <w:t xml:space="preserve">3.2 Comparisons with PIN and earthquake damage</w:t>
      </w:r>
    </w:p>
    <w:p>
      <w:pPr>
        <w:pStyle w:val="FirstParagraph"/>
      </w:pPr>
      <w:r>
        <w:t xml:space="preserve">The plot below shows the total population of each sub-district on the x-axis (for the moment, all persons in these areas are assumed to be affected and are included in the PIN) and the number of beneficiaries on the y-axis.</w:t>
      </w:r>
    </w:p>
    <w:p>
      <w:pPr>
        <w:pStyle w:val="BodyText"/>
      </w:pPr>
      <w:r>
        <w:t xml:space="preserve">The size of each point indicates the number of dead or wounded persons there per 100,000.</w:t>
      </w:r>
    </w:p>
    <w:p>
      <w:pPr>
        <w:pStyle w:val="BodyText"/>
      </w:pPr>
    </w:p>
    <w:p>
      <w:pPr>
        <w:pStyle w:val="BodyText"/>
      </w:pPr>
      <w:r>
        <w:drawing>
          <wp:inline>
            <wp:extent cx="5334000" cy="3556000"/>
            <wp:effectExtent b="0" l="0" r="0" t="0"/>
            <wp:docPr descr="" title="" id="37" name="Picture"/>
            <a:graphic>
              <a:graphicData uri="http://schemas.openxmlformats.org/drawingml/2006/picture">
                <pic:pic>
                  <pic:nvPicPr>
                    <pic:cNvPr descr="cash_reporting_20230411_word_files/figure-docx/unnamed-chunk-9-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higher or lower a sub-district is above the blue line, the more disproportionate the number of beneficiaries allocated to that location are.</w:t>
      </w:r>
    </w:p>
    <w:p>
      <w:pPr>
        <w:pStyle w:val="BodyText"/>
      </w:pPr>
      <w:r>
        <w:t xml:space="preserve">This should also be compared to each sub-district’s share of the earthquake damage. Of particular note, sub-districts in grey have yet to receive any MPC assistance.</w:t>
      </w:r>
    </w:p>
    <w:p>
      <w:pPr>
        <w:pStyle w:val="BodyText"/>
      </w:pPr>
    </w:p>
    <w:p>
      <w:pPr>
        <w:pStyle w:val="BodyText"/>
      </w:pPr>
      <w:r>
        <w:drawing>
          <wp:inline>
            <wp:extent cx="5334000" cy="3556000"/>
            <wp:effectExtent b="0" l="0" r="0" t="0"/>
            <wp:docPr descr="" title="" id="40" name="Picture"/>
            <a:graphic>
              <a:graphicData uri="http://schemas.openxmlformats.org/drawingml/2006/picture">
                <pic:pic>
                  <pic:nvPicPr>
                    <pic:cNvPr descr="cash_reporting_20230411_word_files/figure-docx/unnamed-chunk-10-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CWG is currently working on a prioritisation score, which can be a useful shorthand, that will take into account pre-existing vulnerability (likely from the MSNA) as well as earthquake impacts.</w:t>
      </w:r>
    </w:p>
    <w:p>
      <w:pPr>
        <w:pStyle w:val="BodyText"/>
      </w:pPr>
    </w:p>
    <w:bookmarkEnd w:id="42"/>
    <w:bookmarkStart w:id="46" w:name="planned-activities"/>
    <w:p>
      <w:pPr>
        <w:pStyle w:val="Heading3"/>
      </w:pPr>
      <w:r>
        <w:t xml:space="preserve">3.3 Planned activities</w:t>
      </w:r>
    </w:p>
    <w:p>
      <w:pPr>
        <w:pStyle w:val="FirstParagraph"/>
      </w:pPr>
      <w:r>
        <w:drawing>
          <wp:inline>
            <wp:extent cx="5334000" cy="2370666"/>
            <wp:effectExtent b="0" l="0" r="0" t="0"/>
            <wp:docPr descr="" title="" id="44" name="Picture"/>
            <a:graphic>
              <a:graphicData uri="http://schemas.openxmlformats.org/drawingml/2006/picture">
                <pic:pic>
                  <pic:nvPicPr>
                    <pic:cNvPr descr="cash_reporting_20230411_word_files/figure-docx/unnamed-chunk-11-1.png" id="45"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6"/>
    <w:bookmarkEnd w:id="47"/>
    <w:bookmarkStart w:id="52" w:name="cash-response-actors-and-cash-disbursed"/>
    <w:p>
      <w:pPr>
        <w:pStyle w:val="Heading1"/>
      </w:pPr>
      <w:r>
        <w:t xml:space="preserve">4. Cash response actors and cash disbursed</w:t>
      </w:r>
    </w:p>
    <w:p>
      <w:pPr>
        <w:pStyle w:val="FirstParagraph"/>
      </w:pPr>
      <w:r>
        <w:t xml:space="preserve">In the scatterplot below, each point is a single cash working group partner. The x-axis indicates the number of beneficiaries reached per agency and the y-axis indicates the number of communities (admin4) reached.</w:t>
      </w:r>
    </w:p>
    <w:p>
      <w:pPr>
        <w:pStyle w:val="BodyText"/>
      </w:pPr>
    </w:p>
    <w:p>
      <w:pPr>
        <w:pStyle w:val="BodyText"/>
      </w:pPr>
      <w:r>
        <w:drawing>
          <wp:inline>
            <wp:extent cx="5334000" cy="2370666"/>
            <wp:effectExtent b="0" l="0" r="0" t="0"/>
            <wp:docPr descr="" title="" id="49" name="Picture"/>
            <a:graphic>
              <a:graphicData uri="http://schemas.openxmlformats.org/drawingml/2006/picture">
                <pic:pic>
                  <pic:nvPicPr>
                    <pic:cNvPr descr="cash_reporting_20230411_word_files/figure-docx/partner-scatter-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USD 13.3 million has been distributed across 174 communities and 28 sub-districts in NW Syria.</w:t>
      </w:r>
    </w:p>
    <w:p>
      <w:pPr>
        <w:pStyle w:val="BodyText"/>
      </w:pPr>
      <w:r>
        <w:t xml:space="preserve">The table below summarises the information in the scatterplot above in tabular form:</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Reach and footprint of cash response 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implementing_partner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in Need (PIN)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GOAL (GOAL)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Norwegian Refugee Council (NRC)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Mercy Without Limits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Bahar Organization (BO)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Agency for Technical Cooperation and Development (ACTED)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Uluslararasi Insani Yardimlasma Dernegi (IYD)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 Relief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Ihsan for Relief and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Vision International (WVI)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Welthungerhilfe (WHH)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Ataa Humanitarian Relief Association (ATAA)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MASRRAT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Elaf for relief and development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Only partners who provided more than USD 100/family/month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bookmarkStart w:id="51" w:name="usd-disbursed-per-partner"/>
    <w:p>
      <w:pPr>
        <w:pStyle w:val="Heading3"/>
      </w:pPr>
      <w:r>
        <w:t xml:space="preserve">4.1 USD disbursed per partner</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USD disbursed and families reached by partner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implementing_partner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families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usd_per_fam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%_usd_total</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GOAL (GOAL)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2,998,650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Norwegian Refugee Council (NRC)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1,266,450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in Need (PIN)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927,450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Ihsan for Relief and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 Relief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Agency for Technical Cooperation and Development (ACTED)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Mercy Without Limits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Uluslararasi Insani Yardimlasma Dernegi (IYD)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Bahar Organization (BO)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Welthungerhilfe (WHH)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Vision International (WVI)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Ataa Humanitarian Relief Association (ATAA)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Elaf for relief and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MASRRAT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bl>
    <w:p>
      <w:pPr>
        <w:pStyle w:val="BodyText"/>
      </w:pPr>
    </w:p>
    <w:p>
      <w:pPr>
        <w:pStyle w:val="BodyText"/>
      </w:pPr>
      <w:r>
        <w:t xml:space="preserve">The CWG is currently working with other Clusters to consolidate all cash-based activities and will soon be able to provide more comprehensive reporting.</w:t>
      </w:r>
    </w:p>
    <w:p>
      <w:pPr>
        <w:pStyle w:val="BodyText"/>
      </w:pPr>
    </w:p>
    <w:bookmarkEnd w:id="51"/>
    <w:bookmarkEnd w:id="52"/>
    <w:bookmarkStart w:id="59" w:name="annexes"/>
    <w:p>
      <w:pPr>
        <w:pStyle w:val="Heading1"/>
      </w:pPr>
      <w:r>
        <w:t xml:space="preserve">5. Annexes</w:t>
      </w:r>
    </w:p>
    <w:p>
      <w:pPr>
        <w:pStyle w:val="FirstParagraph"/>
      </w:pPr>
    </w:p>
    <w:bookmarkStart w:id="53" w:name="X92207e27a58f24891ffaf96c73dc04ba31e0190"/>
    <w:p>
      <w:pPr>
        <w:pStyle w:val="Heading3"/>
      </w:pPr>
      <w:r>
        <w:t xml:space="preserve">5.1 Interactive reference table at sub-district level</w:t>
      </w:r>
    </w:p>
    <w:p>
      <w:pPr>
        <w:pStyle w:val="FirstParagraph"/>
      </w:pPr>
      <w:r>
        <w:t xml:space="preserve">Columns include:</w:t>
      </w:r>
      <w:r>
        <w:t xml:space="preserve"> </w:t>
      </w:r>
      <w:r>
        <w:rPr>
          <w:rStyle w:val="VerbatimChar"/>
        </w:rPr>
        <w:t xml:space="preserve">governorate</w:t>
      </w:r>
      <w:r>
        <w:t xml:space="preserve">,</w:t>
      </w:r>
      <w:r>
        <w:t xml:space="preserve"> </w:t>
      </w:r>
      <w:r>
        <w:rPr>
          <w:rStyle w:val="VerbatimChar"/>
        </w:rPr>
        <w:t xml:space="preserve">district</w:t>
      </w:r>
      <w:r>
        <w:t xml:space="preserve">,</w:t>
      </w:r>
      <w:r>
        <w:t xml:space="preserve"> </w:t>
      </w:r>
      <w:r>
        <w:rPr>
          <w:rStyle w:val="VerbatimChar"/>
        </w:rPr>
        <w:t xml:space="preserve">sub-district</w:t>
      </w:r>
      <w:r>
        <w:t xml:space="preserve">,</w:t>
      </w:r>
      <w:r>
        <w:t xml:space="preserve"> </w:t>
      </w:r>
      <w:r>
        <w:rPr>
          <w:rStyle w:val="VerbatimChar"/>
        </w:rPr>
        <w:t xml:space="preserve">total population</w:t>
      </w:r>
      <w:r>
        <w:t xml:space="preserve">,</w:t>
      </w:r>
      <w:r>
        <w:t xml:space="preserve"> </w:t>
      </w:r>
      <w:r>
        <w:rPr>
          <w:rStyle w:val="VerbatimChar"/>
        </w:rPr>
        <w:t xml:space="preserve">beneficiaries</w:t>
      </w:r>
      <w:r>
        <w:t xml:space="preserve">,</w:t>
      </w:r>
      <w:r>
        <w:t xml:space="preserve"> </w:t>
      </w:r>
      <w:r>
        <w:rPr>
          <w:rStyle w:val="VerbatimChar"/>
        </w:rPr>
        <w:t xml:space="preserve">total usd disbursed</w:t>
      </w:r>
      <w:r>
        <w:t xml:space="preserve">,</w:t>
      </w:r>
      <w:r>
        <w:t xml:space="preserve"> </w:t>
      </w:r>
      <w:r>
        <w:rPr>
          <w:rStyle w:val="VerbatimChar"/>
        </w:rPr>
        <w:t xml:space="preserve">wounded and dead</w:t>
      </w:r>
      <w:r>
        <w:t xml:space="preserve">,</w:t>
      </w:r>
      <w:r>
        <w:t xml:space="preserve"> </w:t>
      </w:r>
      <w:r>
        <w:rPr>
          <w:rStyle w:val="VerbatimChar"/>
        </w:rPr>
        <w:t xml:space="preserve">wounded and dead per 100k</w:t>
      </w:r>
      <w:r>
        <w:t xml:space="preserve">,</w:t>
      </w:r>
      <w:r>
        <w:t xml:space="preserve"> </w:t>
      </w:r>
      <w:r>
        <w:rPr>
          <w:rStyle w:val="VerbatimChar"/>
        </w:rPr>
        <w:t xml:space="preserve">damaged houses</w:t>
      </w:r>
      <w:r>
        <w:t xml:space="preserve">,</w:t>
      </w:r>
      <w:r>
        <w:t xml:space="preserve"> </w:t>
      </w:r>
      <w:r>
        <w:rPr>
          <w:rStyle w:val="VerbatimChar"/>
        </w:rPr>
        <w:t xml:space="preserve">damaged houses per 100k</w:t>
      </w:r>
      <w:r>
        <w:t xml:space="preserve">,</w:t>
      </w:r>
      <w:r>
        <w:t xml:space="preserve"> </w:t>
      </w:r>
      <w:r>
        <w:rPr>
          <w:rStyle w:val="VerbatimChar"/>
        </w:rPr>
        <w:t xml:space="preserve">admin3pcode</w:t>
      </w:r>
    </w:p>
    <w:p>
      <w:pPr>
        <w:pStyle w:val="BodyText"/>
      </w:pPr>
    </w:p>
    <w:bookmarkEnd w:id="53"/>
    <w:bookmarkStart w:id="54" w:name="reporting-quality"/>
    <w:p>
      <w:pPr>
        <w:pStyle w:val="Heading3"/>
      </w:pPr>
      <w:r>
        <w:t xml:space="preserve">5.2 Reporting quality</w:t>
      </w:r>
    </w:p>
    <w:p>
      <w:pPr>
        <w:pStyle w:val="FirstParagraph"/>
      </w:pPr>
      <w:r>
        <w:t xml:space="preserve">This section documents issues encountered in the cleaning of 4W and FSL data and their impacts on the quality of reporting the CWG can provide.</w:t>
      </w:r>
    </w:p>
    <w:p>
      <w:pPr>
        <w:pStyle w:val="BodyText"/>
      </w:pPr>
      <w:r>
        <w:t xml:space="preserve">Note that substantial cleaning has already taken place and these outstanding issues could not be resolved by the time of reporting.</w:t>
      </w:r>
    </w:p>
    <w:p>
      <w:pPr>
        <w:pStyle w:val="BodyText"/>
      </w:pPr>
      <w:r>
        <w:t xml:space="preserve">However, the CWG recognises that not all reporting issues were due to partner error. The CWG will work with partners to continue improving reporting quality.</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Still, one third of reporting originates from the FSL tracker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308,417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fsl_tracker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31.21</w:t>
            </w:r>
          </w:p>
        </w:tc>
      </w:tr>
    </w:tbl>
    <w:p>
      <w:pPr>
        <w:pStyle w:val="BodyText"/>
      </w:pPr>
    </w:p>
    <w:p>
      <w:pPr>
        <w:pStyle w:val="BodyText"/>
      </w:pPr>
      <w:r>
        <w:t xml:space="preserve">Below is a breakdown of reporting by date: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January reporting is still largely incomplete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r>
    </w:tbl>
    <w:p>
      <w:pPr>
        <w:pStyle w:val="BodyText"/>
      </w:pPr>
    </w:p>
    <w:p>
      <w:pPr>
        <w:pStyle w:val="BodyText"/>
      </w:pPr>
      <w:r>
        <w:t xml:space="preserve">Activities pertaining to 14,432 were missing their date or had dates in unreadable formats. However, the columns</w:t>
      </w:r>
      <w:r>
        <w:t xml:space="preserve"> </w:t>
      </w:r>
      <w:r>
        <w:rPr>
          <w:rStyle w:val="VerbatimChar"/>
        </w:rPr>
        <w:t xml:space="preserve">start date</w:t>
      </w:r>
      <w:r>
        <w:t xml:space="preserve">,</w:t>
      </w:r>
      <w:r>
        <w:t xml:space="preserve"> </w:t>
      </w:r>
      <w:r>
        <w:rPr>
          <w:rStyle w:val="VerbatimChar"/>
        </w:rPr>
        <w:t xml:space="preserve">end date</w:t>
      </w:r>
      <w:r>
        <w:t xml:space="preserve"> </w:t>
      </w:r>
      <w:r>
        <w:t xml:space="preserve">and</w:t>
      </w:r>
      <w:r>
        <w:t xml:space="preserve"> </w:t>
      </w:r>
      <w:r>
        <w:rPr>
          <w:rStyle w:val="VerbatimChar"/>
        </w:rPr>
        <w:t xml:space="preserve">month of reporting</w:t>
      </w:r>
      <w:r>
        <w:t xml:space="preserve"> </w:t>
      </w:r>
      <w:r>
        <w:t xml:space="preserve">were some of the most troublesome and consumed a large part of the time dedicated to data cleaning.</w:t>
      </w:r>
    </w:p>
    <w:p>
      <w:pPr>
        <w:pStyle w:val="BodyText"/>
      </w:pPr>
      <w:r>
        <w:t xml:space="preserve">The CWG would like to reiterate that</w:t>
      </w:r>
      <w:r>
        <w:t xml:space="preserve"> </w:t>
      </w:r>
      <w:r>
        <w:rPr>
          <w:rStyle w:val="VerbatimChar"/>
        </w:rPr>
        <w:t xml:space="preserve">start date</w:t>
      </w:r>
      <w:r>
        <w:t xml:space="preserve"> </w:t>
      </w:r>
      <w:r>
        <w:t xml:space="preserve">and</w:t>
      </w:r>
      <w:r>
        <w:t xml:space="preserve"> </w:t>
      </w:r>
      <w:r>
        <w:rPr>
          <w:rStyle w:val="VerbatimChar"/>
        </w:rPr>
        <w:t xml:space="preserve">end date</w:t>
      </w:r>
      <w:r>
        <w:t xml:space="preserve"> </w:t>
      </w:r>
      <w:r>
        <w:t xml:space="preserve">should be entered in the format mm/dd/yyyy and that</w:t>
      </w:r>
      <w:r>
        <w:t xml:space="preserve"> </w:t>
      </w:r>
      <w:r>
        <w:rPr>
          <w:rStyle w:val="VerbatimChar"/>
        </w:rPr>
        <w:t xml:space="preserve">month of reporting</w:t>
      </w:r>
      <w:r>
        <w:t xml:space="preserve"> </w:t>
      </w:r>
      <w:r>
        <w:t xml:space="preserve">should be selected from the dropdown menu.</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12 partners have reported planned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project_status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448,317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Suspended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bl>
    <w:p>
      <w:pPr>
        <w:pStyle w:val="BodyText"/>
      </w:pPr>
    </w:p>
    <w:p>
      <w:pPr>
        <w:pStyle w:val="BodyText"/>
      </w:pPr>
      <w:r>
        <w:t xml:space="preserve">The sum of planned beneficiaries is 62,129. If this is the extent of all planned MPC activities, the CWG as a whole can expect to reach around 77% of its target of 662,942 persons.</w:t>
      </w:r>
    </w:p>
    <w:p>
      <w:pPr>
        <w:pStyle w:val="BodyText"/>
      </w:pPr>
      <w:r>
        <w:t xml:space="preserve">Below is a breakdown of planned actitivities by source: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Breakdown of planned activities by source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fsl_tracker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34.75</w:t>
            </w:r>
          </w:p>
        </w:tc>
      </w:tr>
    </w:tbl>
    <w:p>
      <w:pPr>
        <w:pStyle w:val="BodyText"/>
      </w:pPr>
    </w:p>
    <w:bookmarkEnd w:id="54"/>
    <w:bookmarkStart w:id="58" w:name="disaggregations"/>
    <w:p>
      <w:pPr>
        <w:pStyle w:val="Heading3"/>
      </w:pPr>
      <w:r>
        <w:t xml:space="preserve">5.3 Disaggregations</w:t>
      </w:r>
    </w:p>
    <w:p>
      <w:pPr>
        <w:pStyle w:val="FirstParagraph"/>
      </w:pPr>
      <w:r>
        <w:t xml:space="preserve">Of the 565 rows reported through the 4Ws (the FSL tracker does not ask for beneficiary disaggregations), only 32 have any values for the numbers of elderly persons reached.</w:t>
      </w:r>
    </w:p>
    <w:p>
      <w:pPr>
        <w:pStyle w:val="BodyText"/>
      </w:pPr>
      <w:r>
        <w:t xml:space="preserve">The total number of elderly persons reached by the CWG partners is 3,190. The total number of beneficiaries reached is 448,317.</w:t>
      </w:r>
    </w:p>
    <w:p>
      <w:pPr>
        <w:pStyle w:val="BodyText"/>
      </w:pPr>
      <w:r>
        <w:t xml:space="preserve">It is unclear how able partners are to comply with sex- and age-disaggregated reporting. 452 of the 565 rows reported through the 4Ws contain some form of sex-and-age disaggregation. Of these, only 366 rows have not copy/pasted the disaggregations from the MSNA (13% men, 27% women, 28% boys and 31% girls). For analysis purposes, these have been discarded. In future, it is always preferable to leave disaggregation columns blank as opposed to including values that have been backfilled from a census or a survey, especially as this backfilling will be done by OCHA as a final step in reporting anyway.</w:t>
      </w:r>
    </w:p>
    <w:p>
      <w:pPr>
        <w:pStyle w:val="BodyText"/>
      </w:pPr>
      <w:r>
        <w:t xml:space="preserve">This is a histogram of the remaining values:</w:t>
      </w:r>
    </w:p>
    <w:p>
      <w:pPr>
        <w:pStyle w:val="BodyText"/>
      </w:pPr>
    </w:p>
    <w:p>
      <w:pPr>
        <w:pStyle w:val="BodyText"/>
      </w:pPr>
      <w:r>
        <w:drawing>
          <wp:inline>
            <wp:extent cx="5334000" cy="2370666"/>
            <wp:effectExtent b="0" l="0" r="0" t="0"/>
            <wp:docPr descr="" title="" id="56" name="Picture"/>
            <a:graphic>
              <a:graphicData uri="http://schemas.openxmlformats.org/drawingml/2006/picture">
                <pic:pic>
                  <pic:nvPicPr>
                    <pic:cNvPr descr="cash_reporting_20230411_word_files/figure-docx/unnamed-chunk-19-1.png" id="57" name="Picture"/>
                    <pic:cNvPicPr>
                      <a:picLocks noChangeArrowheads="1" noChangeAspect="1"/>
                    </pic:cNvPicPr>
                  </pic:nvPicPr>
                  <pic:blipFill>
                    <a:blip r:embed="rId5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Until such time copy/pasted values are excluded from the sex-and-age disggregations, it would be incorrect to estimate the number of men, women, boys and girls reached from the 4W values. This also means that it is not possible to determine if there is a skew towards either sex in our current programming.</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Syria Cash Working Group Earthquake Response Bulletin</dc:title>
  <dc:creator/>
  <cp:keywords/>
  <dcterms:created xsi:type="dcterms:W3CDTF">2023-04-13T08:38:33Z</dcterms:created>
  <dcterms:modified xsi:type="dcterms:W3CDTF">2023-04-13T08:38:33Z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13 April, 2023</vt:lpwstr>
  </property>
  <property fmtid="{D5CDD505-2E9C-101B-9397-08002B2CF9AE}" pid="4" name="output">
    <vt:lpwstr/>
  </property>
</Properties>
</file>