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simulated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synthetic worlds.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beside the five base terms, which keep their partition of unity, so the full term set with inserted terms is not a Ruspini partition, and only rules written on it read it, so the firing strengths of the other rules do not change.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A gate ablation selects on one shadow future and admits on G5 alone, with G6 to G8 off and the no-harm guard on. A persistence ablation runs the same search but withdraws every admitted object after the cycle in which it first acts, so the open layer keeps no doctrine within the incident. A parity test writes the brief of the proposer from the same perturbed copy as the forecasts and, in S5, corrupts the figures of the brief as the features are corrupted. A coating parity test holds a coat clause to the reach and fire-size condition of the ground effects, charges the drop to the capacity pool and makes every forecast comparison judge the total cost. An effect-removal replay withholds, for each of the seven effects, every admitted object that uses it.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so this control is a fixed library with the full effect repertoire available from the first cycle.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49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49, under which 45 rows stay below 0.05, the exceptions being the two single random-candidate controls, the persistence ablation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the record of admitted objects as doctrine within the incident, not the search alone, carries the gain.</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robustness comparisons (unadjusted 95% half-widths; p Holm-adjusted over the family of 49)</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These settings move one or three parameters at a time and are not a sweep of the parameter space; within them the ordering against Closed is unchanged in every row of Table VII,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49)</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the record of admitted objects as doctrine within the incident is necessary, since withdrawing each object after one cycle leaves no gain, and about two thirds of the gain travels with coating-bearing objects, which keep most of it when coating is priced and reach-limited.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