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In simulation on 150 paired incidents, VODA lowers burned area by 61% against the closed layer, raises the share of extinguished incidents from 52% to 91%, and lowers priced response by 46% and affected population, the initial residents of burned cells, by 80%. The gated search carries most of the gain: a random proposer behind the same gates reaches three quarters of it,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VODA answers the first limit with a verified open decision space.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w:t>
      </w:r>
      <w:r>
        <w:t>Algebraic gates and a paired forecast test on hazard forecasts are applied to every candidate, and the best survivor is admitted.</w:t>
      </w:r>
      <w:r>
        <w:t xml:space="preserve">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VODA separates the hazard model from the decision mechanism. Blind hindcast against satellite fire records assesses spatial agreement, while paired comparisons on </w:t>
      </w:r>
      <w:r w:rsidRPr="006B193B">
        <w:lastRenderedPageBreak/>
        <w:t xml:space="preserve">identical worlds isolate decision benefits, including under planning-model error. </w:t>
      </w:r>
      <w:r>
        <w:t>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VODA combines closed-layer tuning and open-</w:t>
      </w:r>
      <w:r>
        <w:t xml:space="preserve">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(16).</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w:t>
      </w:r>
      <w:r>
        <w:t>The open layer then generates candidates and passes every one of them through the gate chain on shadow forecasts; the best survivor is admitted.</w:t>
      </w:r>
      <w:r>
        <w:t xml:space="preserve"> The </w:t>
      </w:r>
      <w:r>
        <w:lastRenderedPageBreak/>
        <w:t>LLM serves as a context-conditioned proposal mechanism, using the incident description to compose structured intervention candidates from executable physical effects for subsequent simulation-based evaluation.</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w:t>
      </w:r>
      <w:r>
        <w:t xml:space="preserve"> objects that do not parse into the vocabulary; G2 rejects unknown effects or sectors and duplicates; G3 requires the rule to fire on the current reading; G4 enforces the free pool. Coating and ignition use no crew but are priced in capacity-steps against the funded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the selected component. For a composed intervention, it changes a clause's </w:t>
      </w:r>
      <w:r>
        <w:lastRenderedPageBreak/>
        <w:t xml:space="preserve">effect, sector, band, or amount with probability 0.5, perturbs a consequent intensity by </w:t>
      </w:r>
      <w:proofErr w:type="gramStart"/>
      <w:r>
        <w:t>N(</w:t>
      </w:r>
      <w:proofErr w:type="gramEnd"/>
      <w:r>
        <w:t>0, 0.15) with probability 0.25, and otherwise redraws the antecedents. For rules and macros, the probabilities are 0.75 for an intensity change and 0.25 for redrawn antecedents.</w:t>
      </w:r>
    </w:p>
    <w:p w14:paraId="0E8F8563" w14:textId="2A12F92B"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objects uniformly from the grammar of (19) and spends its budget on fresh samples rather than variations.</w:t>
      </w:r>
      <w:r>
        <w:t xml:space="preserve"> 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 Evacuation and warning also carry displacement cost, so retaining them does not guarantee a lower physical cost. Second, </w:t>
      </w:r>
      <w:proofErr w:type="gramStart"/>
      <w:r>
        <w:t>every</w:t>
      </w:r>
      <w:proofErr w:type="gramEnd"/>
      <w:r>
        <w:t xml:space="preserve">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S5 models degraded observation through feature perturbations and reduced confidence, representing the effects of incomplete or delayed information on decision inference and targeting.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VODA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The model-error and independent-gate reruns set the effort level to high. Code, configurations and run logs are available from the corresponding author on request. A request asks for six candidates. The closed layer spends two shadow forecasts per cycle on the acceptance test and none on search, so the forecast budget of the open layer is matched only by the random control. Full search allows 36 first-future forecasts and up to three additional finalist evaluations; the candidate-only configuration omits variations, and the small random control sets its search budget to six. Single-candidate controls submit one random or LLM candidate to the gates. The repeat uses the same worlds; the independent-future test selects the best candidate on seeds 101 and 202 and completes G5 to G8 on seeds 303 and 404, so the final test does not reuse the futures of the selection.</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w:t>
      </w:r>
      <w:proofErr w:type="gramStart"/>
      <w:r>
        <w:t>rate</w:t>
      </w:r>
      <w:proofErr w:type="gramEnd"/>
      <w:r>
        <w:t>,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six composed tactics written from initial-attack practice over the seven effects, an aerial retardant line ahead of the head, structure protection, a flank line, a rear anchor, an evacuation belt and a burnout behind a cleared line;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IV;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None / Closed / VODA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30 aggregate comparisons, namely the main comparison and every row of the search, robustness and doctrine comparisons, using one million random sign assignments. The adjusted p applies to the main comparison only; the remaining rows are reported with unadjusted intervals and are exploratory.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w:t>
      </w:r>
      <w:r>
        <w:t xml:space="preserve">The test evaluates spatial agreement conditioned on the observed extent and does not validate timing; the area ratio in </w:t>
      </w:r>
      <w:r>
        <w:fldChar w:fldCharType="begin"/>
      </w:r>
      <w:r>
        <w:instrText>REF _RefTab_agree \h</w:instrText>
      </w:r>
      <w:r>
        <w:fldChar w:fldCharType="separate"/>
      </w:r>
      <w:r w:rsidR="001C6998">
        <w:t xml:space="preserve">Table IV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w:t>
      </w:r>
      <w:r>
        <w:fldChar w:fldCharType="end"/>
      </w:r>
      <w:r>
        <w:t xml:space="preserve"> reports outcomes and scenario changes against Closed; worse counts refer to larger burned area among 30 worlds. Against Closed, VODA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(16) from 0.2 to 1 narrows the total-cost advantage from 48% to 31 ± 7%, better in 108 worlds, and leaves the area result unchanged. Later admission raises dispatch-delay cost by 36%, included in the total. Extinguished incidents rise from 52% to 91%; VODA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VODA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w:t>
      </w:r>
      <w:r>
        <w:fldChar w:fldCharType="end"/>
      </w:r>
      <w:r>
        <w:t xml:space="preserve"> groups the source and search comparisons with model-error and operating-limit tests. The gated search with a random proposer reduces area by 46%, compared with 61% for VODA, so the gate chain over the candidate set carries most of the gain. The random control is a random search over the grammar of (19) with simulation-based selection, 36 candidates per call priced on the same forecasts and admitted by the same gates, so it is a search controller without a language model over the same vocabulary, and its margin over Closed measures what the composed vocabulary and the search add to doctrine written in families. At this comparable budget, the candidate-only LLM configuration exceeds the small random control by 14 ± 11 percentage points, while adding variations yields a further 16 ± 9 points.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VODA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VODA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w:t>
      </w:r>
      <w:r>
        <w:lastRenderedPageBreak/>
        <w:t xml:space="preserve">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 In the 44 nominal worlds where VODA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The admitted objects lower forecast physical cost on their worse future by a median 0.008; a margin of 0.001 in G7 would have refused 92 of them.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tactics selected as the recurring archetypes of the 75 derivation worlds, each admitted in at least 7 of them, and used as recorded doctrine in the transfer tests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 Two results separate the sources of the gain: a random proposer over the same effects, sectors and bands recovers three quarters of it, so the gain rests on the composed vocabulary and the forecast-guided search rather than on the language model, and a hand-written doctrine over the same effects gains little while the recorded tactics carried by the closed layer as doctrine carry most of it, so what the closed layer lacks is not access to the effects but the compositions the search finds. Seen as a planner, the gated search is a receding-horizon search over an action grammar; the contribution is the architecture around it, a doctrine that records what the search admits and gates that keep the proposer from deciding,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forecast-based guard evaluates physical cost over the guard horizon; it does not guarantee improvement on every realized trajectory. The blind hindcast assesses spatial agreement for free spread and does not validate the modeled intervention effects.</w:t>
      </w:r>
    </w:p>
    <w:p w14:paraId="30DAB8EB" w14:textId="2055D6A3"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