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VODA: the margin of VODA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six composed tactics written from initial-attack practice over the seven effects, an aerial retardant line ahead of the head, structure protection, a flank line, a rear anchor, an evacuation belt and a burnout behind a cleared line;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Without variations and at the same budget of six forecasts, the candidate-only LLM configuration exceeds the small random control by 14 ± 11 percentage points, so the proposer is measured without the local search; the variations add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r>
        <w:t xml:space="preserve">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