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Takagi-Sugeno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affected population by 80% and response cost by 46% against the closed layer, and raises the share of extinguished incidents from 52% to 91%; on a domain three times larger the area reduction is 57%. Behind the same gates, a search over the closed vocabulary reaches two thirds of this gain and a random proposer over the composed grammar three quarters, while a hand-written doctrine over the same effects gains little, so the gain rests first on the forecast-guided search and then on the compositions it finds from good seeds. The admitted interventions recur across incidents and, recorded as rules, transfer to unseen ones, while continued generation adds further gain under new conditions. The gain holds under single and combined model errors in the live world, under a fire state partly unseen by the planner, under four alternative cost functions and across forecast budgets, and every row of the comparison tables carries a paired test with a Holm adjustment. The hazard model is assessed separately by hindcast of four documented fires against disk and ellipse references, and the decision core decides in under one second between model calls in a harness without the model,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in simulation as one system rather than as isolated algorithms; distributed operation of the agents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A supplementary file gives the hand-written rule base, the extraction constants, the simulation core maps and constants, the search budget and timing harness, and the proposer prompt. Code, configurations, world seeds and admission logs are available at https://github.com/northwind13/GODA, and the dissertation on which the work builds is cited in the manuscript.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