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t>
      </w:r>
      <w:proofErr w:type="gramStart"/>
      <w:r w:rsidRPr="0039420F">
        <w:rPr>
          <w:lang w:val="en-US"/>
        </w:rPr>
        <w:t>With</w:t>
      </w:r>
      <w:proofErr w:type="gramEnd"/>
      <w:r w:rsidRPr="0039420F">
        <w:rPr>
          <w:lang w:val="en-US"/>
        </w:rPr>
        <w:t xml:space="preserve"> a Verified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Most decision support systems decide within a closed decision space, a set of rules or tactics fixed before the incident. The manuscript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w:t>
      </w:r>
      <w:proofErr w:type="spellStart"/>
      <w:r w:rsidRPr="0039420F">
        <w:rPr>
          <w:lang w:val="en-US"/>
        </w:rPr>
        <w:t>Sugeno</w:t>
      </w:r>
      <w:proofErr w:type="spellEnd"/>
      <w:r w:rsidRPr="0039420F">
        <w:rPr>
          <w:lang w:val="en-US"/>
        </w:rPr>
        <w:t xml:space="preserve"> rule base with an open layer in which a pretrained language model proposes rules and composed interventions, and a chain of gates on hazard forecasts admits at most one object per call.</w:t>
      </w:r>
    </w:p>
    <w:p w14:paraId="7D9E1CA2" w14:textId="405CC1C0" w:rsidR="00173833" w:rsidRPr="0039420F" w:rsidRDefault="00380847">
      <w:pPr>
        <w:spacing w:after="150"/>
        <w:jc w:val="both"/>
        <w:rPr>
          <w:lang w:val="en-US"/>
        </w:rPr>
      </w:pPr>
      <w:r w:rsidRPr="0039420F">
        <w:rPr>
          <w:lang w:val="en-US"/>
        </w:rPr>
        <w:t xml:space="preserve">On 150 paired synthetic incidents, VODA lowers burned area by 61%, affected population by 80% and priced response by 46% against the closed layer, and raises the share of extinguished incidents from 52% to 91%. </w:t>
      </w:r>
      <w:r>
        <w:rPr>
          <w:lang w:val="en-US"/>
        </w:rPr>
        <w:t>A random proposer behind the same gates reaches three quarters of this gain and a hand-written doctrine over the same effects gains little, so the gain rests on the gated search rather than on the particular proposer or on access to the effects.</w:t>
      </w:r>
      <w:r>
        <w:rPr>
          <w:lang w:val="en-US"/>
        </w:rPr>
        <w:t xml:space="preserve">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4181B7F2" w:rsidR="00173833" w:rsidRPr="0039420F" w:rsidRDefault="00380847">
      <w:pPr>
        <w:spacing w:after="150"/>
        <w:jc w:val="both"/>
        <w:rPr>
          <w:lang w:val="en-US"/>
        </w:rPr>
      </w:pPr>
      <w:r>
        <w:rPr>
          <w:lang w:val="en-US"/>
        </w:rPr>
        <w:t>The work fits the scope of the IEEE Systems Journal as an architecture for a system of systems.</w:t>
      </w:r>
      <w:r>
        <w:rPr>
          <w:lang w:val="en-US"/>
        </w:rPr>
        <w:t xml:space="preserve"> Wildfire response joins a hazard model, regional decision agents, a shared resource pool and a human operator. The manuscript contributes the architecture that couples these parts and keeps the admission of new interventions under the control of the hazard model, and evaluates it as one system rather than as isolated algorithms.</w:t>
      </w:r>
    </w:p>
    <w:p w14:paraId="4094AA97" w14:textId="7F887535"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w:t>
      </w:r>
      <w:r>
        <w:rPr>
          <w:lang w:val="en-US"/>
        </w:rPr>
        <w:t>A supplementary file gives the hand-written rule base, the extraction constants and the proposer prompt.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w:t>
      </w:r>
      <w:proofErr w:type="spellStart"/>
      <w:r w:rsidRPr="0039420F">
        <w:rPr>
          <w:lang w:val="en-US"/>
        </w:rPr>
        <w:t>Akman</w:t>
      </w:r>
      <w:proofErr w:type="spellEnd"/>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w:t>
      </w:r>
      <w:proofErr w:type="spellStart"/>
      <w:r w:rsidRPr="0039420F">
        <w:rPr>
          <w:lang w:val="en-US"/>
        </w:rPr>
        <w:t>Türkiye</w:t>
      </w:r>
      <w:proofErr w:type="spellEnd"/>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w:t>
      </w:r>
      <w:proofErr w:type="spellStart"/>
      <w:r w:rsidRPr="0039420F">
        <w:rPr>
          <w:lang w:val="en-US"/>
        </w:rPr>
        <w:t>Leblebicioğlu</w:t>
      </w:r>
      <w:proofErr w:type="spellEnd"/>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 w:val="00B1029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464</Words>
  <Characters>2650</Characters>
  <Application>Microsoft Office Word</Application>
  <DocSecurity>0</DocSecurity>
  <Lines>22</Lines>
  <Paragraphs>6</Paragraphs>
  <ScaleCrop>false</ScaleCrop>
  <Company>HAVELSAN A.S</Company>
  <LinksUpToDate>false</LinksUpToDate>
  <CharactersWithSpaces>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6</cp:revision>
  <dcterms:created xsi:type="dcterms:W3CDTF">2026-08-07T15:03:00Z</dcterms:created>
  <dcterms:modified xsi:type="dcterms:W3CDTF">2026-10-29T21:56:00Z</dcterms:modified>
</cp:coreProperties>
</file>