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[33]</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[42]</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[44]</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[45]</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[47]</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[48]</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[49]</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The closed layer reasons over features read from the observation. The open layer, the acceptance test and the no-harm guard judge orders by shadow forecasts, which the decision core runs on its own copy of the hazard model, the shadow core. As in model-predictive control, the shadow core starts from the current fire state, which stands for the mapped perimeter and resource status that an incident team maintains, and the live world may depart from its forecast; Section V-C measures this departure through errors in spread, suppression, coating and wind.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[52]</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[54]</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Gate futures use seeds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Shadow forecasts start from an accurate fire state, so the effect of perimeter mapping error on the gain is not measured.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1622-1633,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1622-1633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