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October 29,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t>
      </w:r>
      <w:proofErr w:type="gramStart"/>
      <w:r w:rsidRPr="0039420F">
        <w:rPr>
          <w:lang w:val="en-US"/>
        </w:rPr>
        <w:t>With</w:t>
      </w:r>
      <w:proofErr w:type="gramEnd"/>
      <w:r w:rsidRPr="0039420F">
        <w:rPr>
          <w:lang w:val="en-US"/>
        </w:rPr>
        <w:t xml:space="preserve"> a Verified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Most decision support systems decide within a closed decision space, a set of rules or tactics fixed before the incident. The manuscript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A simulation core holds the hazard state, and a decision core reads it through confidence-rated observations. The decision core combines a self-tuning sparse Takagi-</w:t>
      </w:r>
      <w:proofErr w:type="spellStart"/>
      <w:r w:rsidRPr="0039420F">
        <w:rPr>
          <w:lang w:val="en-US"/>
        </w:rPr>
        <w:t>Sugeno</w:t>
      </w:r>
      <w:proofErr w:type="spellEnd"/>
      <w:r w:rsidRPr="0039420F">
        <w:rPr>
          <w:lang w:val="en-US"/>
        </w:rPr>
        <w:t xml:space="preserve"> rule base with an open layer in which a pretrained language model proposes rules and composed interventions, and a chain of gates on hazard forecasts admits at most one object per call.</w:t>
      </w:r>
    </w:p>
    <w:p w14:paraId="7D9E1CA2" w14:textId="50D439C6" w:rsidR="00173833" w:rsidRPr="0039420F" w:rsidRDefault="00380847">
      <w:pPr>
        <w:spacing w:after="150"/>
        <w:jc w:val="both"/>
        <w:rPr>
          <w:lang w:val="en-US"/>
        </w:rPr>
      </w:pPr>
      <w:r w:rsidRPr="0039420F">
        <w:rPr>
          <w:lang w:val="en-US"/>
        </w:rPr>
        <w:t>On 150 paired synthetic incidents, VODA lowers burned area by 61%, affected population by 80% and priced response by 46% against the closed layer, and raises the share of extinguished incidents from 52% to 91%. A random proposer behind the same gates reaches three quarters of this gain, so the gain rests on the composed vocabulary and the forecast-guided search rather than on the particular proposer. The admitted interventions recur across incidents and, recorded as rules, transfer to unseen ones, while continued generation adds further gain under new conditions. The hazard model is assessed separately by blind hindcast of four documented fires, and the decision core decides in under one second between model calls, with a cost that grows slowly with the number of regional agents.</w:t>
      </w:r>
    </w:p>
    <w:p w14:paraId="35BD7740" w14:textId="73221C65" w:rsidR="00173833" w:rsidRPr="0039420F" w:rsidRDefault="00380847">
      <w:pPr>
        <w:spacing w:after="150"/>
        <w:jc w:val="both"/>
        <w:rPr>
          <w:lang w:val="en-US"/>
        </w:rPr>
      </w:pPr>
      <w:r w:rsidRPr="0039420F">
        <w:rPr>
          <w:lang w:val="en-US"/>
        </w:rPr>
        <w:t>The work fits the scope of the IEEE Systems Journal as a system-of-systems contribution. Wildfire response joins a hazard model, regional decision agents, a shared resource pool and a human operator. The manuscript contributes the architecture that couples these parts and keeps the admission of new interventions under the control of the hazard model, and evaluates it as one system rather than as isolated algorithms.</w:t>
      </w:r>
    </w:p>
    <w:p w14:paraId="4094AA97" w14:textId="78354506" w:rsidR="00173833" w:rsidRPr="0039420F" w:rsidRDefault="00380847">
      <w:pPr>
        <w:spacing w:after="150"/>
        <w:jc w:val="both"/>
        <w:rPr>
          <w:lang w:val="en-US"/>
        </w:rPr>
      </w:pPr>
      <w:r w:rsidRPr="0039420F">
        <w:rPr>
          <w:lang w:val="en-US"/>
        </w:rPr>
        <w:t>The manuscript is original, has not been published previously, and is not under consideration elsewhere. All authors have read and approved the submitted version. Part of the material derives from the doctoral research of the corresponding author at Middle East Technical University. The authors declare no competing interests. A supplementary file lists the hand-written rule base used as a closed reference.</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w:t>
      </w:r>
      <w:proofErr w:type="spellStart"/>
      <w:r w:rsidRPr="0039420F">
        <w:rPr>
          <w:lang w:val="en-US"/>
        </w:rPr>
        <w:t>Akman</w:t>
      </w:r>
      <w:proofErr w:type="spellEnd"/>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w:t>
      </w:r>
      <w:proofErr w:type="spellStart"/>
      <w:r w:rsidRPr="0039420F">
        <w:rPr>
          <w:lang w:val="en-US"/>
        </w:rPr>
        <w:t>Türkiye</w:t>
      </w:r>
      <w:proofErr w:type="spellEnd"/>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w:t>
      </w:r>
      <w:proofErr w:type="spellStart"/>
      <w:r w:rsidRPr="0039420F">
        <w:rPr>
          <w:lang w:val="en-US"/>
        </w:rPr>
        <w:t>Leblebicioğlu</w:t>
      </w:r>
      <w:proofErr w:type="spellEnd"/>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