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w:t>
      </w:r>
      <w:r>
        <w:rPr>
          <w:b/>
          <w:bCs/>
          <w:sz w:val="18"/>
          <w:szCs w:val="18"/>
        </w:rPr>
        <w:t>proposes rules and blended or composed interventions, and a chain of gates on shadow forecasts admits at most one object per call.</w:t>
      </w:r>
      <w:r>
        <w:rPr>
          <w:b/>
          <w:bCs/>
          <w:sz w:val="18"/>
          <w:szCs w:val="18"/>
        </w:rPr>
        <w:t xml:space="preserve"> Against the closed layer, VODA lowers burned area by 61%, affected population (the initial residents of burned cells, including those evacuated) by 80%, and priced response by 46%, while dispatch-delay cost rises by 36%, and raises the share of extinguished incidents from 52% to 91%. Forecast-guided search carries most of the gain. </w:t>
      </w:r>
      <w:r>
        <w:rPr>
          <w:b/>
          <w:bCs/>
          <w:sz w:val="18"/>
          <w:szCs w:val="18"/>
        </w:rPr>
        <w:t>A random proposer behind the same gates reaches three quarters of it.</w:t>
      </w:r>
      <w:r>
        <w:rPr>
          <w:b/>
          <w:bCs/>
          <w:sz w:val="18"/>
          <w:szCs w:val="18"/>
        </w:rPr>
        <w:t xml:space="preserv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10D4B22C" w14:textId="77777777" w:rsidR="00BE4774" w:rsidRPr="006E071F" w:rsidRDefault="00BE4774" w:rsidP="00BE4774">
      <w:pPr>
        <w:pStyle w:val="Text"/>
        <w:ind w:firstLine="0"/>
        <w:rPr>
          <w:rFonts w:ascii="Times" w:hAnsi="Times"/>
          <w:sz w:val="18"/>
          <w:szCs w:val="18"/>
        </w:rPr>
      </w:pP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w:t>
      </w:r>
      <w:r>
        <w:lastRenderedPageBreak/>
        <w:t xml:space="preserve">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w:t>
      </w:r>
      <w:r>
        <w:t>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domain is closed, fire does not leave it, and without decision support most of it burns, so relative changes are reported together with absolute areas and the extinguished fraction.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w:t>
      </w:r>
      <w:r>
        <w:lastRenderedPageBreak/>
        <w:t xml:space="preserve">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w:t>
      </w:r>
      <w:r>
        <w:t>VODA adds candidate generation and the gate chain over all candidates.</w:t>
      </w:r>
      <w:r>
        <w:t xml:space="preserve">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Full search allows 36 first-future forecasts and up to three additional finalist evaluations; </w:t>
      </w:r>
      <w:r>
        <w:t>the candidate-only configuration omits variations</w:t>
      </w:r>
      <w:r>
        <w:t xml:space="preserve">, and the small random control sets its search budget to six. </w:t>
      </w:r>
      <w:r>
        <w:t>Single-candidate controls submit one random or LLM candidate to the gates.</w:t>
      </w:r>
      <w:r>
        <w:t xml:space="preserve"> The repeat uses the same worlds; </w:t>
      </w:r>
      <w:r>
        <w:t>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w:t>
      </w:r>
      <w:r>
        <w:t xml:space="preserve">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 The adjusted p applies to the main comparison only; the remaining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and the time needed to reach the 12 h footprint show that free spread runs faster than observed in three of the four fires; the test therefore evaluates extent-conditioned spatial agreement, not timing.</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r>
              <w:rPr>
                <w:sz w:val="16"/>
                <w:szCs w:val="16"/>
              </w:rPr>
              <w:t>Footprint reached (h)</w:t>
            </w:r>
          </w:p>
        </w:tc>
        <w:tc>
          <w:tcPr>
            <w:tcW w:w="675" w:type="pct"/>
          </w:tcPr>
          <w:p w14:paraId="29C98467" w14:textId="77777777" w:rsidR="00D83EA8" w:rsidRDefault="00106F55">
            <w:pPr>
              <w:jc w:val="center"/>
              <w:rPr>
                <w:sz w:val="16"/>
                <w:szCs w:val="16"/>
              </w:rPr>
            </w:pPr>
            <w:r>
              <w:rPr>
                <w:sz w:val="16"/>
                <w:szCs w:val="16"/>
              </w:rPr>
              <w:t>1.5</w:t>
            </w:r>
          </w:p>
        </w:tc>
        <w:tc>
          <w:tcPr>
            <w:tcW w:w="675" w:type="pct"/>
          </w:tcPr>
          <w:p w14:paraId="32E935FD" w14:textId="77777777" w:rsidR="00D83EA8" w:rsidRDefault="00106F55">
            <w:pPr>
              <w:jc w:val="center"/>
              <w:rPr>
                <w:sz w:val="16"/>
                <w:szCs w:val="16"/>
              </w:rPr>
            </w:pPr>
            <w:r>
              <w:rPr>
                <w:sz w:val="16"/>
                <w:szCs w:val="16"/>
              </w:rPr>
              <w:t>2.0</w:t>
            </w:r>
          </w:p>
        </w:tc>
        <w:tc>
          <w:tcPr>
            <w:tcW w:w="675" w:type="pct"/>
          </w:tcPr>
          <w:p w14:paraId="37C90B32" w14:textId="77777777" w:rsidR="00D83EA8" w:rsidRDefault="00106F55">
            <w:pPr>
              <w:jc w:val="center"/>
              <w:rPr>
                <w:sz w:val="16"/>
                <w:szCs w:val="16"/>
              </w:rPr>
            </w:pPr>
            <w:r>
              <w:rPr>
                <w:sz w:val="16"/>
                <w:szCs w:val="16"/>
              </w:rPr>
              <w:t>2.0</w:t>
            </w:r>
          </w:p>
        </w:tc>
        <w:tc>
          <w:tcPr>
            <w:tcW w:w="678" w:type="pct"/>
          </w:tcPr>
          <w:p w14:paraId="36BF404D" w14:textId="77777777" w:rsidR="00D83EA8" w:rsidRDefault="00106F55">
            <w:pPr>
              <w:jc w:val="center"/>
              <w:rPr>
                <w:sz w:val="16"/>
                <w:szCs w:val="16"/>
              </w:rPr>
            </w:pPr>
            <w:r>
              <w:rPr>
                <w:sz w:val="16"/>
                <w:szCs w:val="16"/>
              </w:rPr>
              <w:t>7.0</w:t>
            </w: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354 of 360 best candidates pass the final test,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w:t>
      </w:r>
      <w:r>
        <w:t>The gate chain examines 105 857 candidates over 878 calls: G1 to G4 reject 78 662, 514 calls end with no candidate gaining on both futures, and 359 objects are admitted, one in 300 candidates. Of the 5268 model candidates, 805 fail G1 to G4.</w:t>
      </w:r>
      <w:r>
        <w:t xml:space="preserve">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w:t>
      </w:r>
      <w:r w:rsidR="001C6998">
        <w:rPr>
          <w:noProof/>
        </w:rPr>
        <w:t>VII</w:t>
      </w:r>
      <w:r w:rsidR="00DB0B75">
        <w:fldChar w:fldCharType="end"/>
      </w:r>
      <w:r w:rsidR="00DB0B75">
        <w:t xml:space="preserve"> compares richer initial doctrine with generation during the incident. Seeds and </w:t>
      </w:r>
      <w:proofErr w:type="gramStart"/>
      <w:r w:rsidR="00DB0B75">
        <w:t>Recorded</w:t>
      </w:r>
      <w:proofErr w:type="gramEnd"/>
      <w:r w:rsidR="00DB0B75">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w:t>
      </w:r>
      <w:proofErr w:type="spellStart"/>
      <w:r>
        <w:t>ms</w:t>
      </w:r>
      <w:proofErr w:type="spellEnd"/>
      <w:r>
        <w:t xml:space="preserve">, a 526 </w:t>
      </w:r>
      <w:proofErr w:type="spellStart"/>
      <w:r>
        <w:t>ms</w:t>
      </w:r>
      <w:proofErr w:type="spellEnd"/>
      <w:r>
        <w:t xml:space="preserve"> ninetieth percentile and a 942 </w:t>
      </w:r>
      <w:proofErr w:type="spellStart"/>
      <w:r>
        <w:t>ms</w:t>
      </w:r>
      <w:proofErr w:type="spellEnd"/>
      <w:r>
        <w:t xml:space="preserve"> maximum in the isolated </w:t>
      </w:r>
      <w:r>
        <w:lastRenderedPageBreak/>
        <w:t xml:space="preserve">harness. The first offensive order is issued two simulated minutes after ignition. </w:t>
      </w:r>
      <w:r w:rsidR="005401C1">
        <w:t>Actual LLM-call cycles, including the gated search,</w:t>
      </w:r>
      <w:r w:rsidR="005401C1">
        <w:t xml:space="preserve">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 The resulting contribution is a decision architecture that discovers, checks and reuses interventions over a fixed executable basis.</w:t>
      </w:r>
    </w:p>
    <w:p w14:paraId="26E4C15C" w14:textId="30C50EEF" w:rsidR="00FF0CB1" w:rsidRDefault="00DB0B75">
      <w:pPr>
        <w:pStyle w:val="Text"/>
        <w:spacing w:line="240" w:lineRule="auto"/>
      </w:pPr>
      <w:r>
        <w:t>The gain persists under the tested model errors and operating limits, including ineffective coating and faster-than-planned wind.  Admission nevertheless remains conditional on the hazard model. The forecast-based guard evaluates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 so the robustness claim is limited to those stages.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A Mathematical Theory of Evidence, 1976.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Decision Behaviour, Analysis and Support, 2019.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 xml:space="preserve">Proc. Conf. </w:t>
                    </w:r>
                    <w:r>
                      <w:rPr>
                        <w:i/>
                        <w:iCs/>
                        <w:noProof/>
                      </w:rPr>
                      <w:t>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