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w:t>
      </w:r>
      <w:r>
        <w:t xml:space="preserve">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the Closed and GODA outcomes stay well inside it except in S2, where Closed burns 184 ha.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other comparisons are reported with unadjusted 95% intervals and, where stated, unadjusted paired sign-flip p values.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78%</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87%</w:t>
            </w:r>
          </w:p>
        </w:tc>
        <w:tc>
          <w:tcPr>
            <w:tcW w:w="678" w:type="pct"/>
          </w:tcPr>
          <w:p w14:paraId="14B32199" w14:textId="77777777" w:rsidR="003E3FD9" w:rsidRPr="00E107C1" w:rsidRDefault="00D31F60">
            <w:pPr>
              <w:keepNext/>
              <w:jc w:val="center"/>
              <w:rPr>
                <w:sz w:val="16"/>
                <w:szCs w:val="16"/>
              </w:rPr>
            </w:pPr>
            <w:r w:rsidRPr="00E107C1">
              <w:rPr>
                <w:sz w:val="16"/>
                <w:szCs w:val="16"/>
              </w:rPr>
              <w:t>81%</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bl>
    <w:p w14:paraId="7EB344C9" w14:textId="18F93FF3" w:rsidR="00FF0CB1" w:rsidRDefault="00DB0B75">
      <w:pPr>
        <w:pStyle w:val="Text"/>
        <w:spacing w:before="120" w:line="240" w:lineRule="auto"/>
        <w:rPr>
          <w:noProof/>
        </w:rPr>
      </w:pPr>
      <w:r>
        <w:t xml:space="preserve">Across 50 replicates per fire, detection probability is 0.82–0.98, front agreement 0.83–0.89 and Sørensen overlap 0.78–0.87;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The same four rows give the gain at two budgets, six and 36 first-future forecasts; the larger budget adds 14 points to the random proposer and 16 to the model, and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forecast budget is the same across these searches: the evolutionary search, the random full search and GODA all spend the 36 first-future forecasts of Section V-A, and at the small budget of six the random proposer reaches 32% and the model candidates 45%. The gain grows with budget for every proposer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56E56CD6" w14:textId="77777777" w:rsidTr="00074B69">
        <w:tc>
          <w:tcPr>
            <w:tcW w:w="2127" w:type="dxa"/>
          </w:tcPr>
          <w:p w14:paraId="24282C28" w14:textId="77777777" w:rsidR="00CB2143" w:rsidRDefault="00CB2143" w:rsidP="00074B69">
            <w:pPr>
              <w:keepNext/>
              <w:spacing w:line="220" w:lineRule="auto"/>
            </w:pPr>
            <w:r>
              <w:rPr>
                <w:sz w:val="18"/>
              </w:rPr>
              <w:t>Hand-written seeds, with variations</w:t>
            </w:r>
          </w:p>
        </w:tc>
        <w:tc>
          <w:tcPr>
            <w:tcW w:w="1417" w:type="dxa"/>
          </w:tcPr>
          <w:p w14:paraId="3335D0DD" w14:textId="77777777" w:rsidR="00CB2143" w:rsidRDefault="00CB2143" w:rsidP="00074B69">
            <w:pPr>
              <w:keepNext/>
              <w:spacing w:line="220" w:lineRule="auto"/>
              <w:jc w:val="center"/>
            </w:pPr>
            <w:r>
              <w:rPr>
                <w:sz w:val="18"/>
              </w:rPr>
              <w:t>−31 ± 12</w:t>
            </w:r>
          </w:p>
        </w:tc>
        <w:tc>
          <w:tcPr>
            <w:tcW w:w="1559" w:type="dxa"/>
          </w:tcPr>
          <w:p w14:paraId="555A4CAD" w14:textId="77777777" w:rsidR="00CB2143" w:rsidRDefault="00CB2143" w:rsidP="00074B69">
            <w:pPr>
              <w:keepNext/>
              <w:spacing w:line="220" w:lineRule="auto"/>
              <w:jc w:val="center"/>
            </w:pPr>
            <w:r>
              <w:rPr>
                <w:sz w:val="18"/>
              </w:rPr>
              <w:t>−24 ± 8</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footprint shape of the hazard model is assessed against recorded fires in Section V-B, which does not reach the effect operators.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https://github.com/northwind13/Enhanced_DSS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