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priced response by 46% against the closed layer, and raises the share of extinguished incidents from 52% to 91%.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hazard model is assessed separately by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 xml:space="preserve">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