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a random proposer behind the same gates reaches three quarters of it,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0.15 to 0.30;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six composed tactics written from initial-attack practice over the seven effects, an aerial retardant line ahead of the head, structure protection, a flank line, a rear anchor, an evacuation belt and a burnout behind a cleared line;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30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IV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random search over the grammar of (19) with simulation-based selection, 36 candidates per call priced on the same forecasts and admitted by the same gates, so it is a search controller without a language model over the same vocabulary, and its margin over Closed measures what the composed vocabulary and the search add to doctrine written in families. Without variations and at the same budget of six forecasts, the candidate-only LLM configuration exceeds the small random control by 14 ± 11 percentage points, so the proposer is measured without the local search; the variations add a further 16 ± 9 points.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a hand-written doctrine over the same effects gains little while the recorded tactics carried by the closed layer as doctrine carry most of it, so what the closed layer lacks is not access to the effects but the compositions the search finds.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