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commentRangeStart w:id="902"/>
      <w:r>
        <w:t xml:space="preserve"> is the set of active rules, </w:t>
      </w:r>
      <w:commentRangeEnd w:id="902"/>
      <w:r>
        <w:rPr>
          <w:rStyle w:val="CommentReference"/>
        </w:rPr>
        <w:commentReference w:id="902"/>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commentRangeStart w:id="900"/>
      <w:r w:rsidRPr="00BA1179">
        <w:rPr>
          <w:lang w:eastAsia="ja-JP"/>
        </w:rPr>
        <w:t xml:space="preserve">The DSS generates decision-driven intervention parameters </w:t>
      </w:r>
      <w:commentRangeEnd w:id="900"/>
      <w:r>
        <w:rPr>
          <w:rStyle w:val="CommentReference"/>
        </w:rPr>
        <w:commentReference w:id="900"/>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commentRangeStart w:id="901"/>
      <w:r w:rsidRPr="00BA1179">
        <w:t>Resource Data Layer</w:t>
      </w:r>
      <w:commentRangeEnd w:id="901"/>
      <w:r>
        <w:rPr>
          <w:rStyle w:val="CommentReference"/>
        </w:rPr>
        <w:commentReference w:id="901"/>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commentRangeStart w:id="903"/>
      <w:r w:rsidRPr="00BA1179">
        <w:t xml:space="preserve">Fuel cannot become negative and cannot increase unless explicitly modeled, </w:t>
      </w:r>
      <w:commentRangeEnd w:id="903"/>
      <w:r>
        <w:rPr>
          <w:rStyle w:val="CommentReference"/>
        </w:rPr>
        <w:commentReference w:id="903"/>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commentRangeStart w:id="904"/>
      <w:r w:rsidRPr="00BA1179">
        <w:rPr>
          <w:rFonts w:eastAsiaTheme="majorEastAsia" w:cstheme="majorBidi"/>
          <w:lang w:eastAsia="ja-JP"/>
        </w:rPr>
        <w:t xml:space="preserve"> modifies only future state transitions. It does not alter the current state </w:t>
      </w:r>
      <w:commentRangeEnd w:id="904"/>
      <w:r>
        <w:rPr>
          <w:rStyle w:val="CommentReference"/>
        </w:rPr>
        <w:commentReference w:id="904"/>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285" w:name="_RefFigEvFIS"/>
      <w:bookmarkStart w:id="286"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289" w:name="_RefFigRes"/>
      <w:bookmarkStart w:id="290" w:name="_Toc234879586"/>
      <w:bookmarkStart w:id="291"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292" w:name="_RefFigGen"/>
      <w:bookmarkStart w:id="293"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292"/>
      <w:r>
        <w:t xml:space="preserve"> Generative proposal and the verification gates</w:t>
      </w:r>
      <w:bookmarkEnd w:id="293"/>
    </w:p>
    <w:p w14:paraId="5922808F" w14:textId="75A78655"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6E316191"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304" w:name="_Ref235263747"/>
      <w:bookmarkStart w:id="305"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307" w:name="_Ref235263763"/>
      <w:bookmarkStart w:id="308"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309" w:name="_RefFig4X"/>
      <w:bookmarkStart w:id="310" w:name="_TocFig4X"/>
      <w:bookmarkStart w:id="311"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332" w:name="_Ref235572564"/>
      <w:bookmarkStart w:id="333"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341" w:name="_RefF54S1"/>
      <w:bookmarkStart w:id="342"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343" w:name="_Ref236094469"/>
      <w:bookmarkStart w:id="344"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345" w:name="_Ref236094496"/>
      <w:bookmarkStart w:id="346"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347" w:name="_Ref236094512"/>
      <w:bookmarkStart w:id="348"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355" w:name="_Ref236172698"/>
      <w:bookmarkStart w:id="356"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357" w:name="_Ref236172998"/>
      <w:bookmarkStart w:id="358"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359" w:name="_Ref236172999"/>
      <w:bookmarkStart w:id="360"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362" w:name="_Ref_fig10"/>
      <w:bookmarkStart w:id="363"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366" w:name="_Ref236296138"/>
      <w:bookmarkStart w:id="367"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368" w:name="_Ref_fig11"/>
      <w:bookmarkStart w:id="369" w:name="_RefF54PRD"/>
      <w:bookmarkStart w:id="370"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373" w:name="_Ref_fig9"/>
      <w:bookmarkStart w:id="374" w:name="_RefF54RUN"/>
      <w:bookmarkStart w:id="375"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73"/>
      <w:r w:rsidR="00A0062C">
        <w:t xml:space="preserve"> </w:t>
      </w:r>
      <w:r>
        <w:t>One recorded incident from ignition to containment</w:t>
      </w:r>
      <w:bookmarkEnd w:id="374"/>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77"/>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77"/>
      <w:r w:rsidR="00C96BB4" w:rsidRPr="00F453A0">
        <w:rPr>
          <w:rStyle w:val="CommentReference"/>
          <w:sz w:val="24"/>
          <w:szCs w:val="22"/>
        </w:rPr>
        <w:commentReference w:id="377"/>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8" w:name="_RefTsens"/>
      <w:bookmarkStart w:id="379"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8"/>
      <w:r>
        <w:t xml:space="preserve"> Sensitivity design: parameters, base values and ranges</w:t>
      </w:r>
      <w:bookmarkEnd w:id="379"/>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380"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380"/>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1" w:name="_RefFcap"/>
    </w:p>
    <w:p w14:paraId="5A1B0277" w14:textId="0BE41B91" w:rsidR="002408F0" w:rsidRDefault="00000000">
      <w:pPr>
        <w:pStyle w:val="Heading2"/>
      </w:pPr>
      <w:bookmarkStart w:id="382" w:name="_Toc236342185"/>
      <w:bookmarkEnd w:id="381"/>
      <w:r w:rsidRPr="00BA1179">
        <w:t>Compliance with the Evaluation Criteria and Chapter Summary</w:t>
      </w:r>
      <w:bookmarkEnd w:id="3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3" w:name="_Ref226192388"/>
      <w:bookmarkStart w:id="384" w:name="_Toc236342186"/>
      <w:r w:rsidRPr="00BA1179">
        <w:rPr>
          <w:lang w:val="en-US"/>
        </w:rPr>
        <w:t>CONCLUSION AND FUTURE WORKS</w:t>
      </w:r>
      <w:bookmarkEnd w:id="383"/>
      <w:bookmarkEnd w:id="38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5" w:name="_Toc236342187"/>
      <w:r w:rsidRPr="00BA1179">
        <w:t>Conclusions</w:t>
      </w:r>
      <w:bookmarkEnd w:id="38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6" w:name="_Toc236342188"/>
      <w:r w:rsidRPr="00BA1179">
        <w:t>Future Works</w:t>
      </w:r>
      <w:bookmarkEnd w:id="38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7" w:name="_Toc236342189"/>
      <w:r w:rsidRPr="00BA1179">
        <w:rPr>
          <w:lang w:val="en-US"/>
        </w:rPr>
        <w:lastRenderedPageBreak/>
        <w:t>REFERENCES</w:t>
      </w:r>
      <w:bookmarkEnd w:id="3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8" w:name="_Toc508956019"/>
      <w:bookmarkStart w:id="389" w:name="_Toc508964959"/>
      <w:bookmarkStart w:id="390" w:name="_Toc509310144"/>
      <w:bookmarkStart w:id="391" w:name="_Toc236342190"/>
      <w:r w:rsidRPr="00BA1179">
        <w:rPr>
          <w:lang w:val="en-US"/>
        </w:rPr>
        <w:lastRenderedPageBreak/>
        <w:t>APPENDI</w:t>
      </w:r>
      <w:bookmarkEnd w:id="388"/>
      <w:bookmarkEnd w:id="389"/>
      <w:bookmarkEnd w:id="390"/>
      <w:r w:rsidRPr="00BA1179">
        <w:rPr>
          <w:lang w:val="en-US"/>
        </w:rPr>
        <w:t>CES</w:t>
      </w:r>
      <w:bookmarkEnd w:id="391"/>
    </w:p>
    <w:p w14:paraId="46ACD199" w14:textId="4384076B" w:rsidR="00762B29" w:rsidRPr="00BA1179" w:rsidRDefault="001E5F6D" w:rsidP="006601CA">
      <w:pPr>
        <w:pStyle w:val="Appendix"/>
      </w:pPr>
      <w:bookmarkStart w:id="392" w:name="_Ref223043555"/>
      <w:bookmarkStart w:id="393" w:name="_Ref223162216"/>
      <w:bookmarkStart w:id="394" w:name="_Ref223269282"/>
      <w:bookmarkStart w:id="395" w:name="_Toc236342191"/>
      <w:r w:rsidRPr="00BA1179">
        <w:t xml:space="preserve">Simulation Mathematics for </w:t>
      </w:r>
      <w:bookmarkEnd w:id="392"/>
      <w:bookmarkEnd w:id="393"/>
      <w:r w:rsidRPr="00BA1179">
        <w:t>Evolution of Burning Status</w:t>
      </w:r>
      <w:bookmarkEnd w:id="394"/>
      <w:bookmarkEnd w:id="395"/>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6"/>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7"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7"/>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8"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8"/>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9"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9"/>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400"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400"/>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401"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4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3" w:name="_Ref223263847"/>
      <w:bookmarkStart w:id="404" w:name="_Ref223263851"/>
      <w:bookmarkStart w:id="405" w:name="_Ref223263865"/>
      <w:bookmarkStart w:id="406" w:name="_Toc236342192"/>
      <w:r w:rsidRPr="00BA1179">
        <w:lastRenderedPageBreak/>
        <w:t>Simulation Mathematics for Fuel Mass Evolution</w:t>
      </w:r>
      <w:bookmarkEnd w:id="403"/>
      <w:bookmarkEnd w:id="404"/>
      <w:bookmarkEnd w:id="405"/>
      <w:bookmarkEnd w:id="4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7"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9"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10"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11"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2"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3"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4"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6" w:name="_Ref223266063"/>
      <w:bookmarkStart w:id="417" w:name="_Toc236342193"/>
      <w:r w:rsidRPr="00BA1179">
        <w:lastRenderedPageBreak/>
        <w:t>Simulation Mathematics for Fire Intensity Evolution</w:t>
      </w:r>
      <w:bookmarkEnd w:id="416"/>
      <w:bookmarkEnd w:id="417"/>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8"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8"/>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9"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0" w:name="TableC1"/>
      <w:r w:rsidRPr="00BA1179">
        <w:t>Table C.1 Fire intensity evolution parameters</w:t>
      </w:r>
    </w:p>
    <w:bookmarkEnd w:id="4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1" w:name="_Ref234617318"/>
      <w:bookmarkStart w:id="422" w:name="_Ref234617321"/>
      <w:bookmarkStart w:id="423" w:name="_Ref234520328"/>
      <w:bookmarkStart w:id="424" w:name="_Toc236342194"/>
      <w:r w:rsidRPr="00BA1179">
        <w:lastRenderedPageBreak/>
        <w:t>Complete Concept Mapping Specification</w:t>
      </w:r>
      <w:bookmarkEnd w:id="421"/>
      <w:bookmarkEnd w:id="422"/>
      <w:bookmarkEnd w:id="424"/>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5" w:name="_RefTblE1"/>
      <w:bookmarkStart w:id="426" w:name="TableD1"/>
      <w:r w:rsidRPr="00BA1179">
        <w:rPr>
          <w:rFonts w:cs="Times New Roman"/>
          <w:szCs w:val="24"/>
        </w:rPr>
        <w:t xml:space="preserve">Table D.1 Level 1 to 4 aggregation weights over the </w:t>
      </w:r>
      <w:bookmarkEnd w:id="4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8" w:name="TableD2"/>
      <w:r w:rsidRPr="00BA1179">
        <w:rPr>
          <w:rFonts w:cs="Times New Roman"/>
          <w:szCs w:val="24"/>
        </w:rPr>
        <w:lastRenderedPageBreak/>
        <w:t>Table D.2 Parameters of the concept layer</w:t>
      </w:r>
      <w:bookmarkEnd w:id="4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9" w:name="_RefTblE4"/>
    </w:p>
    <w:p w14:paraId="0F33DE96" w14:textId="60381338" w:rsidR="000E1725" w:rsidRPr="00BA1179" w:rsidRDefault="00000000" w:rsidP="00852310">
      <w:pPr>
        <w:pStyle w:val="Caption"/>
        <w:keepNext/>
        <w:rPr>
          <w:rFonts w:cs="Times New Roman"/>
          <w:szCs w:val="24"/>
        </w:rPr>
      </w:pPr>
      <w:bookmarkStart w:id="430" w:name="TableD3"/>
      <w:r w:rsidRPr="00BA1179">
        <w:rPr>
          <w:rFonts w:cs="Times New Roman"/>
          <w:szCs w:val="24"/>
        </w:rPr>
        <w:t>Table D.3 Trapezoidal parameters</w:t>
      </w:r>
      <w:bookmarkEnd w:id="4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1" w:name="_RefAppE1"/>
      <w:bookmarkStart w:id="432" w:name="_Toc236342195"/>
      <w:r w:rsidRPr="00BA1179">
        <w:lastRenderedPageBreak/>
        <w:t>Representative Decision Rules</w:t>
      </w:r>
      <w:bookmarkEnd w:id="423"/>
      <w:bookmarkEnd w:id="431"/>
      <w:bookmarkEnd w:id="432"/>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3" w:name="_RefTblRules"/>
      <w:bookmarkStart w:id="434" w:name="TableE1"/>
      <w:r w:rsidRPr="00BA1179">
        <w:lastRenderedPageBreak/>
        <w:t>Table E.1 Representative decision rules by operational regime</w:t>
      </w:r>
      <w:bookmarkEnd w:id="433"/>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4"/>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5"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5"/>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6" w:name="_Ref236091196"/>
      <w:bookmarkStart w:id="437" w:name="_Toc236342196"/>
      <w:r>
        <w:lastRenderedPageBreak/>
        <w:t>Generative AI Prompt Specifications</w:t>
      </w:r>
      <w:bookmarkEnd w:id="436"/>
      <w:bookmarkEnd w:id="437"/>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8" w:name="_Toc236342197"/>
      <w:commentRangeStart w:id="439"/>
      <w:r w:rsidRPr="00BA1179">
        <w:rPr>
          <w:lang w:val="en-US"/>
        </w:rPr>
        <w:lastRenderedPageBreak/>
        <w:t>CURRICULUM VITAE</w:t>
      </w:r>
      <w:bookmarkEnd w:id="438"/>
      <w:r w:rsidRPr="00BA1179">
        <w:rPr>
          <w:lang w:val="en-US"/>
        </w:rPr>
        <w:t xml:space="preserve"> </w:t>
      </w:r>
      <w:commentRangeEnd w:id="439"/>
      <w:r w:rsidR="002A7D4E" w:rsidRPr="00BA1179">
        <w:rPr>
          <w:rStyle w:val="CommentReference"/>
          <w:sz w:val="24"/>
          <w:szCs w:val="24"/>
          <w:lang w:val="en-US"/>
        </w:rPr>
        <w:commentReference w:id="439"/>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0" w:name="LastPage"/>
      <w:bookmarkEnd w:id="44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77"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39"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 w:id="900" w:author="CLAUDE" w:date="2026-07-31T01:20:00Z" w:initials="CL">
    <w:p w14:paraId="0C1A0001" w14:textId="77777777" w:rsidR="000E1725" w:rsidRDefault="00000000">
      <w:pPr>
        <w:pStyle w:val="CommentText"/>
      </w:pPr>
      <w:r>
        <w:rPr>
          <w:rStyle w:val="CommentReference"/>
        </w:rPr>
        <w:annotationRef/>
      </w:r>
      <w:r>
        <w:t xml:space="preserve">NOTASYON (U_DSS cikti): Denklem 20 DSS ciktisini U_DSS,k = (Rcap, Ravail, Reff, Rtime) diye tanimliyor; ayni dort sembol Kaynak Katmani baglam girdisi U_Res,k icin de kullaniliyor. Cikti ile baglam girdisi ayni sembolleri paylasiyor. Oneri: birini ayirt et.</w:t>
      </w:r>
    </w:p>
  </w:comment>
  <w:comment w:id="901" w:author="CLAUDE" w:date="2026-07-31T01:20:00Z" w:initials="CL">
    <w:p w14:paraId="0C1A0002" w14:textId="77777777" w:rsidR="000E1725" w:rsidRDefault="00000000">
      <w:pPr>
        <w:pStyle w:val="CommentText"/>
      </w:pPr>
      <w:r>
        <w:rPr>
          <w:rStyle w:val="CommentReference"/>
        </w:rPr>
        <w:annotationRef/>
      </w:r>
      <w:r>
        <w:t xml:space="preserve">NOTASYON (U_Res baglam) + SIRA: Buradaki Rcap/Ravail/Reff/Rtime (U_Res,k) ile Denklem 20 ciktisi U_DSS,k ayni sembolleri kullaniyor. Ayrica bilesen sirasi farkli: Eq 20 = (Rcap, Ravail, Reff, Rtime), Tablo 3.5 = (Rcap, Rtime, Reff, Ravail). Sirayi esitle.</w:t>
      </w:r>
    </w:p>
  </w:comment>
  <w:comment w:id="902" w:author="CLAUDE" w:date="2026-07-31T01:20:00Z" w:initials="CL">
    <w:p w14:paraId="0C1A0003" w14:textId="77777777" w:rsidR="000E1725" w:rsidRDefault="00000000">
      <w:pPr>
        <w:pStyle w:val="CommentText"/>
      </w:pPr>
      <w:r>
        <w:rPr>
          <w:rStyle w:val="CommentReference"/>
        </w:rPr>
        <w:annotationRef/>
      </w:r>
      <w:r>
        <w:t xml:space="preserve">NOTASYON (atesleme gucu): Burada, Eq 6 ve [1495]'te atesleme gucu w_r; ancak Eq 3/4/5 ve [1501]'de ayni buyukluk alpha_r. Tek sembole indir (onerilen alpha_r): Eq 6'da iki, [920] ve [1495]'te birer w -&gt; alpha.</w:t>
      </w:r>
    </w:p>
  </w:comment>
  <w:comment w:id="903" w:author="CLAUDE" w:date="2026-07-31T01:20:00Z" w:initials="CL">
    <w:p w14:paraId="0C1A0004" w14:textId="77777777" w:rsidR="000E1725" w:rsidRDefault="00000000">
      <w:pPr>
        <w:pStyle w:val="CommentText"/>
      </w:pPr>
      <w:r>
        <w:rPr>
          <w:rStyle w:val="CommentReference"/>
        </w:rPr>
        <w:annotationRef/>
      </w:r>
      <w:r>
        <w:t xml:space="preserve">NOTASYON (Fload cift rol): F_load,k hem Yakit Veri Katmani girdisi (Tablo 3.3, Eq 18) hem durum degiskeni (S_k, Eq 23) olarak ayni sembol. Metin "durum yalnizca ic degiskenler" diyor; celiskiyi onlemek icin baslangic girdisini ayir (or. F^0_load girdi, F_load,k durum).</w:t>
      </w:r>
    </w:p>
  </w:comment>
  <w:comment w:id="904" w:author="CLAUDE" w:date="2026-07-31T01:20:00Z" w:initials="CL">
    <w:p w14:paraId="0C1A0005" w14:textId="77777777" w:rsidR="000E1725" w:rsidRDefault="00000000">
      <w:pPr>
        <w:pStyle w:val="CommentText"/>
      </w:pPr>
      <w:r>
        <w:rPr>
          <w:rStyle w:val="CommentReference"/>
        </w:rPr>
        <w:annotationRef/>
      </w:r>
      <w:r>
        <w:t xml:space="preserve">NOTASYON (Theta tekrar): Theta_UI (etkilesim operatoru) burada; ayni Theta ateşleme esigi Theta_ign icin de kullaniliyor. Birini yeniden adlandir.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Ex w15:paraId="0C1A0001" w15:done="0"/>
  <w15:commentEx w15:paraId="0C1A0002" w15:done="0"/>
  <w15:commentEx w15:paraId="0C1A0003" w15:done="0"/>
  <w15:commentEx w15:paraId="0C1A0004" w15:done="0"/>
  <w15:commentEx w15:paraId="0C1A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Id w16cid:paraId="0C1A0001" w16cid:durableId="40000384"/>
  <w16cid:commentId w16cid:paraId="0C1A0002" w16cid:durableId="40000385"/>
  <w16cid:commentId w16cid:paraId="0C1A0003" w16cid:durableId="40000386"/>
  <w16cid:commentId w16cid:paraId="0C1A0004" w16cid:durableId="40000387"/>
  <w16cid:commentId w16cid:paraId="0C1A0005" w16cid:durableId="400003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80CE" w14:textId="77777777" w:rsidR="004F4FDC" w:rsidRPr="00BA1179" w:rsidRDefault="004F4FDC">
      <w:pPr>
        <w:spacing w:after="0" w:line="240" w:lineRule="auto"/>
      </w:pPr>
      <w:r w:rsidRPr="00BA1179">
        <w:separator/>
      </w:r>
    </w:p>
    <w:p w14:paraId="1471226D" w14:textId="77777777" w:rsidR="004F4FDC" w:rsidRPr="00BA1179" w:rsidRDefault="004F4FDC"/>
  </w:endnote>
  <w:endnote w:type="continuationSeparator" w:id="0">
    <w:p w14:paraId="33F3EC2E" w14:textId="77777777" w:rsidR="004F4FDC" w:rsidRPr="00BA1179" w:rsidRDefault="004F4FDC">
      <w:pPr>
        <w:spacing w:after="0" w:line="240" w:lineRule="auto"/>
      </w:pPr>
      <w:r w:rsidRPr="00BA1179">
        <w:continuationSeparator/>
      </w:r>
    </w:p>
    <w:p w14:paraId="2FB872C2" w14:textId="77777777" w:rsidR="004F4FDC" w:rsidRPr="00BA1179" w:rsidRDefault="004F4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F2A" w14:textId="77777777" w:rsidR="004F4FDC" w:rsidRPr="00BA1179" w:rsidRDefault="004F4FDC">
      <w:pPr>
        <w:spacing w:after="0" w:line="240" w:lineRule="auto"/>
      </w:pPr>
      <w:r w:rsidRPr="00BA1179">
        <w:separator/>
      </w:r>
    </w:p>
    <w:p w14:paraId="5EEA2432" w14:textId="77777777" w:rsidR="004F4FDC" w:rsidRPr="00BA1179" w:rsidRDefault="004F4FDC"/>
  </w:footnote>
  <w:footnote w:type="continuationSeparator" w:id="0">
    <w:p w14:paraId="34613A3E" w14:textId="77777777" w:rsidR="004F4FDC" w:rsidRPr="00BA1179" w:rsidRDefault="004F4FDC">
      <w:pPr>
        <w:spacing w:after="0" w:line="240" w:lineRule="auto"/>
      </w:pPr>
      <w:r w:rsidRPr="00BA1179">
        <w:continuationSeparator/>
      </w:r>
    </w:p>
    <w:p w14:paraId="11043BE9" w14:textId="77777777" w:rsidR="004F4FDC" w:rsidRPr="00BA1179" w:rsidRDefault="004F4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6253</TotalTime>
  <Pages>203</Pages>
  <Words>51102</Words>
  <Characters>293841</Characters>
  <Application>Microsoft Office Word</Application>
  <DocSecurity>0</DocSecurity>
  <Lines>7166</Lines>
  <Paragraphs>3593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114</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