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The decision core has a closed layer, a self-tuning Takagi-Sugeno rule base, and an open layer in which a generative model proposes rules and composed interventions and a chain of gates on shadow forecasts ranks the candidates and admits at most one object per call. On 150 paired incidents, GODA lowers burned area by 61% against the closed layer, raises extinguished incidents from 52% to 91%, and lowers response cost by 46% and affected population, the initial residents of burned cells, by 80%. The gated search carries most of the gain: behind the same gates, a search over the closed vocabulary reaches two thirds of it and a random proposer three quarters; a hand-written doctrine over the same effects, without search, gains little. With independent gate futures the advantage is 54%. The admitted interventions recur across incidents and, recorded as rules, keep most of the gain on held-out ones. Regional agents partition the decision core, which decides in under one second between model calls in a harness without the model.</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simulation-based optimization, large language models, fuzzy systems, emergency management,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joins several systems</w:t>
      </w:r>
      <w:r>
        <w:t xml:space="preserve">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as a system of systems, its parts keep their own management </w:t>
      </w:r>
      <w:sdt>
        <w:sdtPr>
          <w:id w:val="-863628968"/>
          <w:citation/>
        </w:sdtPr>
        <w:sdtEndPr/>
        <w:sdtContent>
          <w:r>
            <w:fldChar w:fldCharType="begin"/>
          </w:r>
          <w:r>
            <w:instrText xml:space="preserve"> CITATION Maier98 \l 1033 </w:instrText>
          </w:r>
          <w:r>
            <w:fldChar w:fldCharType="separate"/>
          </w:r>
          <w:r>
            <w:rPr>
              <w:noProof/>
            </w:rPr>
            <w:t>[2]</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[3, 4]</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[3]</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[4, 5]</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[6]</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[7, 8]</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[9, 10]</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[5, 11]</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[12, 13]</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[14]</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[15, 16, 17]</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[18]</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[19]</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[20, 21]</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[22]</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[5, 11]</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Hindcast against satellite fire records assesses spatial agreement, while paired comparisons on identical worlds isolate decision benefits, including under planning-model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[8]</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[23]</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[5, 9]</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[10]</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[11]</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[4]</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[24]</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[25]</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[4, 19]</w:t>
          </w:r>
          <w:r w:rsidR="00474D3B">
            <w:fldChar w:fldCharType="end"/>
          </w:r>
        </w:sdtContent>
      </w:sdt>
      <w:r w:rsidR="00AF4482">
        <w:t xml:space="preserve">, namely fire threat level, suppression feasibility, asset exposure risk, intervention urgency, and evacuation pressure.</w:t>
      </w:r>
      <w:r>
        <w:t xml:space="preserve">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[27]</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[15]</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[17]</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[16]</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[28]</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[19]</w:t>
          </w:r>
          <w:r>
            <w:fldChar w:fldCharType="end"/>
          </w:r>
        </w:sdtContent>
      </w:sdt>
      <w:r>
        <w:t xml:space="preserve">.</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[18]</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[29]</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[30, 31]</w:t>
          </w:r>
          <w:r>
            <w:fldChar w:fldCharType="end"/>
          </w:r>
        </w:sdtContent>
      </w:sdt>
      <w:r>
        <w:t xml:space="preserve">. These approaches compose known parts within a specified basis</w:t>
      </w:r>
      <w:r>
        <w:t xml:space="preserve">, as grammatical evolution does for programs </w:t>
      </w:r>
      <w:sdt>
        <w:sdtPr>
          <w:id w:val="-952847723"/>
          <w:citation/>
        </w:sdtPr>
        <w:sdtEndPr/>
        <w:sdtContent>
          <w:r>
            <w:fldChar w:fldCharType="begin"/>
          </w:r>
          <w:r>
            <w:instrText xml:space="preserve"> CITATION ONeill01 \l 1033 </w:instrText>
          </w:r>
          <w:r>
            <w:fldChar w:fldCharType="separate"/>
          </w:r>
          <w:r>
            <w:rPr>
              <w:noProof/>
            </w:rPr>
            <w:t>[32]</w:t>
          </w:r>
          <w:r>
            <w:fldChar w:fldCharType="end"/>
          </w:r>
        </w:sdtContent>
      </w:sdt>
      <w:r>
        <w:t xml:space="preserve">, as do simulation-based optimization and learning for suppression planning, which search offline.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[33]</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[34]</w:t>
          </w:r>
          <w:r w:rsidR="00CB5F34">
            <w:fldChar w:fldCharType="end"/>
          </w:r>
        </w:sdtContent>
      </w:sdt>
      <w:r>
        <w:t xml:space="preserve">, keeping the evaluator independent of the proposer.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[35]</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[36]</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[37]</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[38]</w:t>
          </w:r>
          <w:r>
            <w:fldChar w:fldCharType="end"/>
          </w:r>
        </w:sdtContent>
      </w:sdt>
      <w:r>
        <w:t xml:space="preserve"> and stochastic programming for initial-attack dispatch </w:t>
      </w:r>
      <w:sdt>
        <w:sdtPr>
          <w:id w:val="-621484213"/>
          <w:citation/>
        </w:sdtPr>
        <w:sdtEndPr/>
        <w:sdtContent>
          <w:r>
            <w:fldChar w:fldCharType="begin"/>
          </w:r>
          <w:r>
            <w:instrText xml:space="preserve"> CITATION Ntaimo12 \l 1033 \m Haight07 </w:instrText>
          </w:r>
          <w:r>
            <w:fldChar w:fldCharType="separate"/>
          </w:r>
          <w:r>
            <w:rPr>
              <w:noProof/>
            </w:rPr>
            <w:t>[39, 40]</w:t>
          </w:r>
          <w:r>
            <w:fldChar w:fldCharType="end"/>
          </w:r>
        </w:sdtContent>
      </w:sdt>
      <w:r>
        <w:t xml:space="preserve"> and mixed-integer models of suppression placement </w:t>
      </w:r>
      <w:sdt>
        <w:sdtPr>
          <w:id w:val="-934007746"/>
          <w:citation/>
        </w:sdtPr>
        <w:sdtEndPr/>
        <w:sdtContent>
          <w:r>
            <w:fldChar w:fldCharType="begin"/>
          </w:r>
          <w:r>
            <w:instrText xml:space="preserve"> CITATION Belval15 \l 1033 </w:instrText>
          </w:r>
          <w:r>
            <w:fldChar w:fldCharType="separate"/>
          </w:r>
          <w:r>
            <w:rPr>
              <w:noProof/>
            </w:rPr>
            <w:t>[41]</w:t>
          </w:r>
          <w:r>
            <w:fldChar w:fldCharType="end"/>
          </w:r>
        </w:sdtContent>
      </w:sdt>
      <w:r>
        <w:t xml:space="preserve"> also search a fixed vocabulary, but offline, whereas the search here runs during the incident on its forecasts.</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[42]</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[43]</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[44]</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[45]</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[46]</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[47]</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[48]</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[49]</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[50]</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[51]</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[52]</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[53]</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Both layers reason from the observation, the closed layer through its features and the open layer through shadow forecasts, which the decision core runs on its own copy of the hazard model, the shadow core.</w:t>
      </w:r>
      <w:r>
        <w:t xml:space="preserve"> Keeping such a copy in step with observations is the task of data assimilation in fire forecasting </w:t>
      </w:r>
      <w:sdt>
        <w:sdtPr>
          <w:id w:val="-874538780"/>
          <w:citation/>
        </w:sdtPr>
        <w:sdtEndPr/>
        <w:sdtContent>
          <w:r>
            <w:fldChar w:fldCharType="begin"/>
          </w:r>
          <w:r>
            <w:instrText xml:space="preserve"> CITATION Mandel08 \l 1033 </w:instrText>
          </w:r>
          <w:r>
            <w:fldChar w:fldCharType="separate"/>
          </w:r>
          <w:r>
            <w:rPr>
              <w:noProof/>
            </w:rPr>
            <w:t>[54]</w:t>
          </w:r>
          <w:r>
            <w:fldChar w:fldCharType="end"/>
          </w:r>
        </w:sdtContent>
      </w:sdt>
      <w:r>
        <w:t xml:space="preserve">.</w:t>
      </w:r>
      <w:r>
        <w:t xml:space="preserv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The same random states isolate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[23]</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w:t>
      </w:r>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[55]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[56]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2D64B8C0" w14:textId="77777777" w:rsidR="00096354" w:rsidRDefault="00096354">
      <w:pPr>
        <w:pStyle w:val="Text"/>
        <w:rPr>
          <w:sz w:val="12"/>
          <w:szCs w:val="12"/>
        </w:rPr>
      </w:pPr>
    </w:p>
    <w:p w14:paraId="0C105F77" w14:textId="77777777" w:rsidR="00096354" w:rsidRDefault="00D31F60">
      <w:pPr>
        <w:pStyle w:val="Text"/>
      </w:pPr>
      <w:r>
        <w:t xml:space="preserve">The intensity proxy is a bounded function</w:t>
      </w:r>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[57]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and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6</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over wind, slope, aspect, moisture, and fuel type. Each front substep spans at most one cell, and spread rates are expressed in cell lengths per substep, so Ψ</w:t>
      </w:r>
      <w:r>
        <w:rPr>
          <w:vertAlign w:val="subscript"/>
        </w:rPr>
        <w:t xml:space="preserve">k</w:t>
      </w:r>
      <w:r>
        <w:t xml:space="preserve"> and Θ</w:t>
      </w:r>
      <w:r>
        <w:rPr>
          <w:vertAlign w:val="subscript"/>
        </w:rPr>
        <w:t xml:space="preserve">ign</w:t>
      </w:r>
      <w:r>
        <w:t xml:space="preserve">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7</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8</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 xml:space="preserve">).</w:t>
      </w:r>
    </w:p>
    <w:p w14:paraId="69E58B39" w14:textId="77777777" w:rsidR="00510E30" w:rsidRDefault="00D31F60">
      <w:pPr>
        <w:pStyle w:val="Text"/>
      </w:pPr>
      <w:r>
        <w:t xml:space="preserve">Extraction maps and their constants, which follow the fire-weather index [58] and the operational priority method [59],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9</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10</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20</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11</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13</w:t>
      </w:r>
      <w:r>
        <w:fldChar w:fldCharType="end"/>
      </w:r>
      <w:r>
        <w:t>), used by (</w:t>
      </w:r>
      <w:r>
        <w:fldChar w:fldCharType="begin"/>
      </w:r>
      <w:r>
        <w:instrText xml:space="preserve"> REF _RefEqN_sat \h \* CHARFORMAT </w:instrText>
      </w:r>
      <w:r>
        <w:fldChar w:fldCharType="separate"/>
      </w:r>
      <w:r w:rsidR="001C6998">
        <w:t>15</w:t>
      </w:r>
      <w:r>
        <w:fldChar w:fldCharType="end"/>
      </w:r>
      <w:r>
        <w:t>), (</w:t>
      </w:r>
      <w:r>
        <w:fldChar w:fldCharType="begin"/>
      </w:r>
      <w:r>
        <w:instrText xml:space="preserve"> REF _RefEqN_adapt \h \* CHARFORMAT </w:instrText>
      </w:r>
      <w:r>
        <w:fldChar w:fldCharType="separate"/>
      </w:r>
      <w:r w:rsidR="001C6998">
        <w:t>16</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11</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12</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13</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The closed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The closed layer.</w:t>
                        </w:r>
                      </w:p>
                    </w:txbxContent>
                  </v:textbox>
                </v:shape>
                <w10:wrap type="square" anchorx="margin" anchory="margin"/>
              </v:group>
            </w:pict>
          </mc:Fallback>
        </mc:AlternateContent>
      </w:r>
      <w:r w:rsidR="00D31F60">
        <w:t xml:space="preserve">Every candidate is evaluated by shadow forecast.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rsidR="00D31F60">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14</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15</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14</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15</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16</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16</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The open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The open layer.</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17</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18</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t xml:space="preserve">The gate chain has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19</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δ</w:t>
      </w:r>
      <w:r>
        <w:rPr>
          <w:vertAlign w:val="subscript"/>
        </w:rPr>
        <w:t xml:space="preserve">adm</w:t>
      </w:r>
      <w:r>
        <w:t xml:space="preserve"> a margin of 10⁻⁴ in units of the physical cost, which lies in [0, 1], set to exclude ties rather than to demand a minimum gain,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19</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xml:space="preserve">). Up to three additional forecasts evaluate the best candidates on the second future, and the candidate with the greatest gain on its worse future completes G5 to G8. A call admits at most one object and admits nothing when no candidate gains on both futures.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r>
        <w:t xml:space="preserve"> 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r>
      <w:r>
        <w:fldChar w:fldCharType="begin"/>
      </w:r>
      <w:r>
        <w:instrText xml:space="preserve"> REF _RefEqN_sat \h \* CHARFORMAT </w:instrText>
      </w:r>
      <w:r>
        <w:fldChar w:fldCharType="separate"/>
      </w:r>
      <w:r w:rsidR="001C6998">
        <w:t>15</w:t>
      </w:r>
      <w:r>
        <w:fldChar w:fldCharType="end"/>
      </w:r>
      <w:r>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xml:space="preserve">) by priority, scaling suppression effort and resource deployment. Monitored regions face a stricter quality threshold. The coordinator bounds regional draws from G4’s funded pool.</w:t>
      </w:r>
      <w:r>
        <w:t xml:space="preserve">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20</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21</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on the shadow core,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and carry terrain, standard fuel models, settlements with population, roads and water sources; winds of 8 to 12 m/s and dead fuel moisture of 6 to 8% give dry, windy conditions.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 xml:space="preserve">Interface / 12, degraded observation</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Claude Code between 20 and 30 October 2026, one turn per request and tools disabled. The behavior of hosted language models drifts across versions </w:t>
      </w:r>
      <w:sdt>
        <w:sdtPr>
          <w:id w:val="-314533478"/>
          <w:citation/>
        </w:sdtPr>
        <w:sdtEndPr/>
        <w:sdtContent>
          <w:r>
            <w:fldChar w:fldCharType="begin"/>
          </w:r>
          <w:r>
            <w:instrText xml:space="preserve"> CITATION Chen24 \l 1033 </w:instrText>
          </w:r>
          <w:r>
            <w:fldChar w:fldCharType="separate"/>
          </w:r>
          <w:r>
            <w:rPr>
              <w:noProof/>
            </w:rPr>
            <w:t>[60]</w:t>
          </w:r>
          <w:r>
            <w:fldChar w:fldCharType="end"/>
          </w:r>
        </w:sdtContent>
      </w:sdt>
      <w:r>
        <w:t xml:space="preserve">, so the model name is recorded and the repeat run of Table VII reports the run-to-run change. A request asks for six candidates. The closed layer spends two shadow forecasts per cycle on the acceptance test and none on search; full search allows 36 first-future forecasts and up to three additional finalist evaluations; the candidate-only configuration omits variations, and the small random control sets its search budget to six before the finalist forecasts.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 third seeds the same search with the six hand-written tactics of Table IV, varied on the reading when a tactic does not fire.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raises fuel moisture and decays by 0.003 per min. The quality threshold η is 0.60, the cost ceiling J</w:t>
      </w:r>
      <w:r>
        <w:rPr>
          <w:vertAlign w:val="subscript"/>
        </w:rPr>
        <w:t xml:space="preserve">TH</w:t>
      </w:r>
      <w:r>
        <w:t xml:space="preserve"> 0.35, the required gain over inaction δ</w:t>
      </w:r>
      <w:r>
        <w:rPr>
          <w:vertAlign w:val="subscript"/>
        </w:rPr>
        <w:t xml:space="preserve">gain</w:t>
      </w:r>
      <w:r>
        <w:t xml:space="preserve"> 5%.</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its normalization keeps it small against the area term, so affected population is reported as an outcome measure and not as a driver of the objective. These measures and cost components are reported with 95% uncertainty in </w:t>
      </w:r>
      <w:r>
        <w:fldChar w:fldCharType="begin"/>
      </w:r>
      <w:r>
        <w:instrText>REF _RefTab_fam \h</w:instrText>
      </w:r>
      <w:r>
        <w:fldChar w:fldCharType="separate"/>
      </w:r>
      <w:r w:rsidR="001C6998">
        <w:t xml:space="preserve">Table VI</w:t>
      </w:r>
      <w:r>
        <w:fldChar w:fldCharType="end"/>
      </w:r>
      <w:r>
        <w:t xml:space="preserve">.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and paired bootstrap intervals of the relative change agree with them within one point; extinguished fractions use Wilson intervals in brackets. Changes are differences of paired means relative to the reference mean. Negative changes indicate lower area or cost. The main 150-world comparison gives a two-sided paired sign-flip p &lt; 0.0001 after Bonferroni correction for 36 aggregate comparisons, namely the main comparison and every other row of Tables VII and VIII, using one million random sign assignments. The other comparisons are reported with unadjusted 95% intervals and, where stated, unadjusted paired sign-flip p values. Percentage half-widths divide the paired half-width by the reference mean.</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(F1–F4). Inputs are Copernicus GLO-30 terrain, ESA WorldCover 2021 fuel, ERA5 weather and VIIRS ignitions and burn detections, with no tuning to these fires. The observed first-12-h footprint is rasterized at 90 m and closed by one VIIRS pixel. Each free-spread run is compared at equal burned area, so the scores measure shape and position rather than rate of spread, which the recorded fires, fought from their first hours, do not constrain. </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F1</w:t>
            </w:r>
          </w:p>
        </w:tc>
        <w:tc>
          <w:tcPr>
            <w:tcW w:w="675" w:type="pct"/>
          </w:tcPr>
          <w:p w14:paraId="59C663EA" w14:textId="77777777" w:rsidR="003E3FD9" w:rsidRPr="00E107C1" w:rsidRDefault="00D31F60">
            <w:pPr>
              <w:keepNext/>
              <w:jc w:val="center"/>
              <w:rPr>
                <w:sz w:val="16"/>
                <w:szCs w:val="16"/>
              </w:rPr>
            </w:pPr>
            <w:r w:rsidRPr="00E107C1">
              <w:rPr>
                <w:b/>
                <w:sz w:val="16"/>
                <w:szCs w:val="16"/>
              </w:rPr>
              <w:t>F2</w:t>
            </w:r>
          </w:p>
        </w:tc>
        <w:tc>
          <w:tcPr>
            <w:tcW w:w="675" w:type="pct"/>
          </w:tcPr>
          <w:p w14:paraId="2AF3FD0C" w14:textId="77777777" w:rsidR="003E3FD9" w:rsidRPr="00E107C1" w:rsidRDefault="00D31F60">
            <w:pPr>
              <w:keepNext/>
              <w:jc w:val="center"/>
              <w:rPr>
                <w:sz w:val="16"/>
                <w:szCs w:val="16"/>
              </w:rPr>
            </w:pPr>
            <w:r w:rsidRPr="00E107C1">
              <w:rPr>
                <w:b/>
                <w:sz w:val="16"/>
                <w:szCs w:val="16"/>
              </w:rPr>
              <w:t>F3</w:t>
            </w:r>
          </w:p>
        </w:tc>
        <w:tc>
          <w:tcPr>
            <w:tcW w:w="678" w:type="pct"/>
          </w:tcPr>
          <w:p w14:paraId="6D3F848E" w14:textId="77777777" w:rsidR="003E3FD9" w:rsidRPr="00E107C1" w:rsidRDefault="00D31F60">
            <w:pPr>
              <w:keepNext/>
              <w:jc w:val="center"/>
              <w:rPr>
                <w:sz w:val="16"/>
                <w:szCs w:val="16"/>
              </w:rPr>
            </w:pPr>
            <w:r w:rsidRPr="00E107C1">
              <w:rPr>
                <w:b/>
                <w:sz w:val="16"/>
                <w:szCs w:val="16"/>
              </w:rPr>
              <w:t>F4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[23].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the shape of recorded footprints.</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2760" w:type="dxa"/>
            <w:gridSpan w:val="2"/>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2760" w:type="dxa"/>
            <w:gridSpan w:val="2"/>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2760" w:type="dxa"/>
            <w:gridSpan w:val="2"/>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2760" w:type="dxa"/>
            <w:gridSpan w:val="2"/>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2760" w:type="dxa"/>
            <w:gridSpan w:val="2"/>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2760" w:type="dxa"/>
            <w:gridSpan w:val="2"/>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2760" w:type="dxa"/>
            <w:gridSpan w:val="2"/>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2760" w:type="dxa"/>
            <w:gridSpan w:val="2"/>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2760" w:type="dxa"/>
            <w:gridSpan w:val="2"/>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2760" w:type="dxa"/>
            <w:gridSpan w:val="2"/>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2760" w:type="dxa"/>
            <w:gridSpan w:val="2"/>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(paired, 20 ± 15%, p = 0.010), so the proposer is measured without the local search; the variations add a further 16 ± 9 points. 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Seeding the same search with the hand-written tactics of Table IV gives 31 ± 12%, no better than random seeds (p = 0.60); paired against it, GODA lowers area by a further 44 ± 16%, better in 106 worlds and worse in 37 (p &lt; 0.0001). Tuning known tactics on forecasts therefore does not reproduce the gain; the model candidates do. The evolutionary search reaches 49 ± 12%; paired against it, GODA lowers area by a further 24 ± 18% and total cost by 17 ± 11%, better in 81 worlds and worse in 58 (p = 0.010); the corresponding margin over the random full search is 28 ± 20% (p = 0.004), and over the closed-vocabulary search 35 ± 17% (p &lt; 0.0001). Of these, only the last survives the family-wise correction, so the ordering of the gated searches is indicative while their margin over Closed is not in doubt.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4E97DA77" w14:textId="77777777" w:rsidTr="00074B69">
        <w:tc>
          <w:tcPr>
            <w:tcW w:w="2127" w:type="dxa"/>
          </w:tcPr>
          <w:p w14:paraId="0EA28487" w14:textId="77777777" w:rsidR="00CB2143" w:rsidRDefault="00CB2143" w:rsidP="00074B69">
            <w:pPr>
              <w:keepNext/>
              <w:spacing w:line="220" w:lineRule="auto"/>
            </w:pPr>
            <w:r>
              <w:rPr>
                <w:sz w:val="18"/>
              </w:rPr>
              <w:t>Random, one, ungated</w:t>
            </w:r>
          </w:p>
        </w:tc>
        <w:tc>
          <w:tcPr>
            <w:tcW w:w="1417" w:type="dxa"/>
          </w:tcPr>
          <w:p w14:paraId="7B57F17C" w14:textId="77777777" w:rsidR="00CB2143" w:rsidRDefault="00CB2143" w:rsidP="00074B69">
            <w:pPr>
              <w:keepNext/>
              <w:spacing w:line="220" w:lineRule="auto"/>
              <w:jc w:val="center"/>
            </w:pPr>
            <w:r>
              <w:rPr>
                <w:sz w:val="18"/>
              </w:rPr>
              <w:t>−10 ± 9</w:t>
            </w:r>
          </w:p>
        </w:tc>
        <w:tc>
          <w:tcPr>
            <w:tcW w:w="1559" w:type="dxa"/>
          </w:tcPr>
          <w:p w14:paraId="44866370" w14:textId="77777777" w:rsidR="00CB2143" w:rsidRDefault="00CB2143" w:rsidP="00074B69">
            <w:pPr>
              <w:keepNext/>
              <w:spacing w:line="220" w:lineRule="auto"/>
              <w:jc w:val="center"/>
            </w:pPr>
            <w:r>
              <w:rPr>
                <w:sz w:val="18"/>
              </w:rPr>
              <w:t>−3 ± 7</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0258B794" w14:textId="77777777" w:rsidTr="00074B69">
        <w:tc>
          <w:tcPr>
            <w:tcW w:w="2127" w:type="dxa"/>
          </w:tcPr>
          <w:p w14:paraId="7A8F9FC3" w14:textId="77777777" w:rsidR="00CB2143" w:rsidRDefault="00CB2143" w:rsidP="00074B69">
            <w:pPr>
              <w:keepNext/>
              <w:spacing w:line="220" w:lineRule="auto"/>
            </w:pPr>
            <w:r>
              <w:rPr>
                <w:sz w:val="18"/>
              </w:rPr>
              <w:t>LLM, one, ungated</w:t>
            </w:r>
          </w:p>
        </w:tc>
        <w:tc>
          <w:tcPr>
            <w:tcW w:w="1417" w:type="dxa"/>
          </w:tcPr>
          <w:p w14:paraId="01CE1707" w14:textId="77777777" w:rsidR="00CB2143" w:rsidRDefault="00CB2143" w:rsidP="00074B69">
            <w:pPr>
              <w:keepNext/>
              <w:spacing w:line="220" w:lineRule="auto"/>
              <w:jc w:val="center"/>
            </w:pPr>
            <w:r>
              <w:rPr>
                <w:sz w:val="18"/>
              </w:rPr>
              <w:t>−25 ± 9</w:t>
            </w:r>
          </w:p>
        </w:tc>
        <w:tc>
          <w:tcPr>
            <w:tcW w:w="1559" w:type="dxa"/>
          </w:tcPr>
          <w:p w14:paraId="5ABA456D" w14:textId="77777777" w:rsidR="00CB2143" w:rsidRDefault="00CB2143" w:rsidP="00074B69">
            <w:pPr>
              <w:keepNext/>
              <w:spacing w:line="220" w:lineRule="auto"/>
              <w:jc w:val="center"/>
            </w:pPr>
            <w:r>
              <w:rPr>
                <w:sz w:val="18"/>
              </w:rPr>
              <w:t>−20 ± 7</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EED6C03" w14:textId="77777777" w:rsidTr="00074B69">
        <w:tc>
          <w:tcPr>
            <w:tcW w:w="2127" w:type="dxa"/>
          </w:tcPr>
          <w:p w14:paraId="669C5920" w14:textId="77777777" w:rsidR="00CB2143" w:rsidRDefault="00CB2143" w:rsidP="00074B69">
            <w:pPr>
              <w:keepNext/>
              <w:spacing w:line="220" w:lineRule="auto"/>
            </w:pPr>
            <w:r>
              <w:rPr>
                <w:sz w:val="18"/>
              </w:rPr>
              <w:t>Random, families only</w:t>
            </w:r>
          </w:p>
        </w:tc>
        <w:tc>
          <w:tcPr>
            <w:tcW w:w="1417" w:type="dxa"/>
          </w:tcPr>
          <w:p w14:paraId="1D26DE98" w14:textId="77777777" w:rsidR="00CB2143" w:rsidRDefault="00CB2143" w:rsidP="00074B69">
            <w:pPr>
              <w:keepNext/>
              <w:spacing w:line="220" w:lineRule="auto"/>
              <w:jc w:val="center"/>
            </w:pPr>
            <w:r>
              <w:rPr>
                <w:sz w:val="18"/>
              </w:rPr>
              <w:t>−41 ± 10</w:t>
            </w:r>
          </w:p>
        </w:tc>
        <w:tc>
          <w:tcPr>
            <w:tcW w:w="1559" w:type="dxa"/>
          </w:tcPr>
          <w:p w14:paraId="1E4F69DC" w14:textId="77777777" w:rsidR="00CB2143" w:rsidRDefault="00CB2143" w:rsidP="00074B69">
            <w:pPr>
              <w:keepNext/>
              <w:spacing w:line="220" w:lineRule="auto"/>
              <w:jc w:val="center"/>
            </w:pPr>
            <w:r>
              <w:rPr>
                <w:sz w:val="18"/>
              </w:rPr>
              <w:t>−30 ± 7</w:t>
            </w:r>
          </w:p>
        </w:tc>
      </w:tr>
      <w:tr w:rsidR="00CB2143" w14:paraId="2FA3C33B" w14:textId="77777777" w:rsidTr="00074B69">
        <w:tc>
          <w:tcPr>
            <w:tcW w:w="2127" w:type="dxa"/>
          </w:tcPr>
          <w:p w14:paraId="5BDD2BAF" w14:textId="77777777" w:rsidR="00CB2143" w:rsidRDefault="00CB2143" w:rsidP="00074B69">
            <w:pPr>
              <w:keepNext/>
              <w:spacing w:line="220" w:lineRule="auto"/>
            </w:pPr>
            <w:r>
              <w:rPr>
                <w:sz w:val="18"/>
              </w:rPr>
              <w:t>Random, with variations</w:t>
            </w:r>
          </w:p>
        </w:tc>
        <w:tc>
          <w:tcPr>
            <w:tcW w:w="1417" w:type="dxa"/>
          </w:tcPr>
          <w:p w14:paraId="3FBCBC7E" w14:textId="77777777" w:rsidR="00CB2143" w:rsidRDefault="00CB2143" w:rsidP="00074B69">
            <w:pPr>
              <w:keepNext/>
              <w:spacing w:line="220" w:lineRule="auto"/>
              <w:jc w:val="center"/>
            </w:pPr>
            <w:r>
              <w:rPr>
                <w:sz w:val="18"/>
              </w:rPr>
              <w:t>−34 ± 9</w:t>
            </w:r>
          </w:p>
        </w:tc>
        <w:tc>
          <w:tcPr>
            <w:tcW w:w="1559" w:type="dxa"/>
          </w:tcPr>
          <w:p w14:paraId="3D89E80B" w14:textId="77777777" w:rsidR="00CB2143" w:rsidRDefault="00CB2143" w:rsidP="00074B69">
            <w:pPr>
              <w:keepNext/>
              <w:spacing w:line="220" w:lineRule="auto"/>
              <w:jc w:val="center"/>
            </w:pPr>
            <w:r>
              <w:rPr>
                <w:sz w:val="18"/>
              </w:rPr>
              <w:t>−27 ± 7</w:t>
            </w:r>
          </w:p>
        </w:tc>
      </w:tr>
      <w:tr w:rsidR="00CB2143" w14:paraId="56E56CD6" w14:textId="77777777" w:rsidTr="00074B69">
        <w:tc>
          <w:tcPr>
            <w:tcW w:w="2127" w:type="dxa"/>
          </w:tcPr>
          <w:p w14:paraId="24282C28" w14:textId="77777777" w:rsidR="00CB2143" w:rsidRDefault="00CB2143" w:rsidP="00074B69">
            <w:pPr>
              <w:keepNext/>
              <w:spacing w:line="220" w:lineRule="auto"/>
            </w:pPr>
            <w:r>
              <w:rPr>
                <w:sz w:val="18"/>
              </w:rPr>
              <w:t>Hand-written seeds, with variations</w:t>
            </w:r>
          </w:p>
        </w:tc>
        <w:tc>
          <w:tcPr>
            <w:tcW w:w="1417" w:type="dxa"/>
          </w:tcPr>
          <w:p w14:paraId="3335D0DD" w14:textId="77777777" w:rsidR="00CB2143" w:rsidRDefault="00CB2143" w:rsidP="00074B69">
            <w:pPr>
              <w:keepNext/>
              <w:spacing w:line="220" w:lineRule="auto"/>
              <w:jc w:val="center"/>
            </w:pPr>
            <w:r>
              <w:rPr>
                <w:sz w:val="18"/>
              </w:rPr>
              <w:t>−31 ± 12</w:t>
            </w:r>
          </w:p>
        </w:tc>
        <w:tc>
          <w:tcPr>
            <w:tcW w:w="1559" w:type="dxa"/>
          </w:tcPr>
          <w:p w14:paraId="555A4CAD" w14:textId="77777777" w:rsidR="00CB2143" w:rsidRDefault="00CB2143" w:rsidP="00074B69">
            <w:pPr>
              <w:keepNext/>
              <w:spacing w:line="220" w:lineRule="auto"/>
              <w:jc w:val="center"/>
            </w:pPr>
            <w:r>
              <w:rPr>
                <w:sz w:val="18"/>
              </w:rPr>
              <w:t>−24 ± 8</w:t>
            </w:r>
          </w:p>
        </w:tc>
      </w:tr>
      <w:tr w:rsidR="00CB2143" w14:paraId="1E34A453" w14:textId="77777777" w:rsidTr="00074B69">
        <w:tc>
          <w:tcPr>
            <w:tcW w:w="2127" w:type="dxa"/>
          </w:tcPr>
          <w:p w14:paraId="1F3F32A9" w14:textId="77777777" w:rsidR="00CB2143" w:rsidRDefault="00CB2143" w:rsidP="00074B69">
            <w:pPr>
              <w:keepNext/>
              <w:spacing w:line="220" w:lineRule="auto"/>
            </w:pPr>
            <w:r>
              <w:rPr>
                <w:sz w:val="18"/>
              </w:rPr>
              <w:t>Evolutionary search</w:t>
            </w:r>
          </w:p>
        </w:tc>
        <w:tc>
          <w:tcPr>
            <w:tcW w:w="1417" w:type="dxa"/>
          </w:tcPr>
          <w:p w14:paraId="744C2942" w14:textId="77777777" w:rsidR="00CB2143" w:rsidRDefault="00CB2143" w:rsidP="00074B69">
            <w:pPr>
              <w:keepNext/>
              <w:spacing w:line="220" w:lineRule="auto"/>
              <w:jc w:val="center"/>
            </w:pPr>
            <w:r>
              <w:rPr>
                <w:sz w:val="18"/>
              </w:rPr>
              <w:t>−49 ± 12</w:t>
            </w:r>
          </w:p>
        </w:tc>
        <w:tc>
          <w:tcPr>
            <w:tcW w:w="1559" w:type="dxa"/>
          </w:tcPr>
          <w:p w14:paraId="0CD3BEC8" w14:textId="77777777" w:rsidR="00CB2143" w:rsidRDefault="00CB2143" w:rsidP="00074B69">
            <w:pPr>
              <w:keepNext/>
              <w:spacing w:line="220" w:lineRule="auto"/>
              <w:jc w:val="center"/>
            </w:pPr>
            <w:r>
              <w:rPr>
                <w:sz w:val="18"/>
              </w:rPr>
              <w:t>−38 ± 9</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 xml:space="preserve">GODA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 xml:space="preserve">GODA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r w:rsidR="00CB2143" w14:paraId="6FEEB272" w14:textId="77777777" w:rsidTr="00074B69">
        <w:tc>
          <w:tcPr>
            <w:tcW w:w="2127" w:type="dxa"/>
          </w:tcPr>
          <w:p w14:paraId="04073796" w14:textId="77777777" w:rsidR="00CB2143" w:rsidRDefault="00CB2143" w:rsidP="00074B69">
            <w:pPr>
              <w:spacing w:line="220" w:lineRule="auto"/>
            </w:pPr>
            <w:r>
              <w:rPr>
                <w:sz w:val="18"/>
              </w:rPr>
              <w:t>Spread kernel and ember model</w:t>
            </w:r>
          </w:p>
        </w:tc>
        <w:tc>
          <w:tcPr>
            <w:tcW w:w="1417" w:type="dxa"/>
          </w:tcPr>
          <w:p w14:paraId="4CE8751C" w14:textId="77777777" w:rsidR="00CB2143" w:rsidRDefault="00CB2143" w:rsidP="00074B69">
            <w:pPr>
              <w:spacing w:line="220" w:lineRule="auto"/>
              <w:jc w:val="center"/>
            </w:pPr>
            <w:r>
              <w:rPr>
                <w:sz w:val="18"/>
              </w:rPr>
              <w:t>−56 ± 12</w:t>
            </w:r>
          </w:p>
        </w:tc>
        <w:tc>
          <w:tcPr>
            <w:tcW w:w="1559" w:type="dxa"/>
          </w:tcPr>
          <w:p w14:paraId="3BBF406B" w14:textId="77777777" w:rsidR="00CB2143" w:rsidRDefault="00CB2143" w:rsidP="00074B69">
            <w:pPr>
              <w:spacing w:line="220" w:lineRule="auto"/>
              <w:jc w:val="center"/>
            </w:pPr>
            <w:r>
              <w:rPr>
                <w:sz w:val="18"/>
              </w:rPr>
              <w:t>−45 ± 9</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[56], and across them the advantage runs from 33% to 61%. Known price, stock and delay limits retain 60%, 53% and 50%, respectively.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and a 50% speed error leaves 44 ± 12%, with 73% of incidents extinguished. Under the structurally different spread model, where the shape of the front and the mechanism of long-range ignition differ between the planner and the world, the advantage is 56 ± 12% with 85% of incidents extinguished against 52%, worse in 7 of 150 worlds.</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composed interventions admitted in at least 7 of the 75 derivation worlds, a fixed rule applied before the transfer tests;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two composed interventions and two macros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response cost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26E4C15C" w14:textId="30C50EEF" w:rsidR="00FF0CB1" w:rsidRDefault="00DB0B75">
      <w:pPr>
        <w:pStyle w:val="Text"/>
        <w:spacing w:line="240" w:lineRule="auto"/>
      </w:pPr>
      <w:r>
        <w:t xml:space="preserve">The gain persists under the tested model errors and operating limits, including ineffective coating, faster-than-planned wind and a different spread model in the world. The gain holds under perturbed rates and directions of spread, under perturbed suppression and coating effects, and under a structurally different spread model in the live world, so it does not rest on the planner sharing the structure of the world; the footprint shape of the hazard model is assessed against recorded fires in Section V-B, which does not reach the effect operators. The synthetic worlds are sized to the initial-attack window, the first hours in which the consequential decisions fall; the hindcast fires are larger because the recorded fires are those that grew beyond that window.</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Generated orders, including tactical ignition and aerial coating, are recommendations; their execution follows the safety rules of the operating agency, which lie outside the decision core. Two further limits bound the claims: the effect operators are modelling assumptions, bounded by the coating settings of Table VII rather than calibrated on observed operations; and the hand-written tactics of Table IV were written once and not tuned on forecasts, so their margin measures doctrine as written. Future work will calibrate the effect operators against observed operations, run the decision comparison on recorded landscapes with their weather,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3AC70D56" w14:textId="77777777">
                <w:trPr>
                  <w:divId w:val="299961452"/>
                  <w:tblCellSpacing w:w="15" w:type="dxa"/>
                </w:trPr>
                <w:tc>
                  <w:tcPr>
                    <w:tcW w:w="50" w:type="pct"/>
                    <w:hideMark/>
                  </w:tcPr>
                  <w:p w14:paraId="345F8D67" w14:textId="77777777" w:rsidR="005401C1" w:rsidRDefault="005401C1">
                    <w:pPr>
                      <w:pStyle w:val="Bibliography"/>
                      <w:rPr>
                        <w:noProof/>
                      </w:rPr>
                    </w:pPr>
                    <w:r>
                      <w:rPr>
                        <w:noProof/>
                      </w:rPr>
                      <w:t xml:space="preserve">[2] </w:t>
                    </w:r>
                  </w:p>
                </w:tc>
                <w:tc>
                  <w:tcPr>
                    <w:tcW w:w="0" w:type="auto"/>
                    <w:hideMark/>
                  </w:tcPr>
                  <w:p w14:paraId="4151790D" w14:textId="77777777" w:rsidR="005401C1" w:rsidRDefault="005401C1">
                    <w:pPr>
                      <w:pStyle w:val="Bibliography"/>
                      <w:rPr>
                        <w:noProof/>
                      </w:rPr>
                    </w:pPr>
                    <w:r>
                      <w:rPr>
                        <w:noProof/>
                      </w:rPr>
                      <w:t xml:space="preserve">M. W. Maier, "Architecting principles for systems-of-systems," </w:t>
                    </w:r>
                    <w:r>
                      <w:rPr>
                        <w:i/>
                        <w:iCs/>
                        <w:noProof/>
                      </w:rPr>
                      <w:t xml:space="preserve">Syst. Eng., </w:t>
                    </w:r>
                    <w:r>
                      <w:rPr>
                        <w:noProof/>
                      </w:rPr>
                      <w:t xml:space="preserve">vol. 1, no. 4, pp. 267-284, 1998.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[3]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[4]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[5]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[6]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[7]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[8]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[9]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[10]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[11]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[12]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[13]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[14]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[15]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[16]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[17]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[18]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[19]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[20]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[21]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[22]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[23]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[24]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[25]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[26]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[27]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[28]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[29]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[30]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[31]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5A87FB08" w14:textId="77777777">
                <w:trPr>
                  <w:divId w:val="299961452"/>
                  <w:tblCellSpacing w:w="15" w:type="dxa"/>
                </w:trPr>
                <w:tc>
                  <w:tcPr>
                    <w:tcW w:w="50" w:type="pct"/>
                    <w:hideMark/>
                  </w:tcPr>
                  <w:p w14:paraId="1F54E6E8" w14:textId="77777777" w:rsidR="005401C1" w:rsidRDefault="005401C1">
                    <w:pPr>
                      <w:pStyle w:val="Bibliography"/>
                      <w:rPr>
                        <w:noProof/>
                      </w:rPr>
                    </w:pPr>
                    <w:r>
                      <w:rPr>
                        <w:noProof/>
                      </w:rPr>
                      <w:t xml:space="preserve">[32] </w:t>
                    </w:r>
                  </w:p>
                </w:tc>
                <w:tc>
                  <w:tcPr>
                    <w:tcW w:w="0" w:type="auto"/>
                    <w:hideMark/>
                  </w:tcPr>
                  <w:p w14:paraId="5D9557D7" w14:textId="77777777" w:rsidR="005401C1" w:rsidRDefault="005401C1">
                    <w:pPr>
                      <w:pStyle w:val="Bibliography"/>
                      <w:rPr>
                        <w:noProof/>
                      </w:rPr>
                    </w:pPr>
                    <w:r>
                      <w:rPr>
                        <w:noProof/>
                      </w:rPr>
                      <w:t xml:space="preserve">M. O'Neill and C. Ryan, "Grammatical evolution," </w:t>
                    </w:r>
                    <w:r>
                      <w:rPr>
                        <w:i/>
                        <w:iCs/>
                        <w:noProof/>
                      </w:rPr>
                      <w:t xml:space="preserve">IEEE Trans. Evol. Comput., </w:t>
                    </w:r>
                    <w:r>
                      <w:rPr>
                        <w:noProof/>
                      </w:rPr>
                      <w:t xml:space="preserve">vol. 5, no. 4, pp. 349-358, 2001.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[33]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[34]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[35]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13E4A100" w14:textId="77777777">
                <w:trPr>
                  <w:divId w:val="299961452"/>
                  <w:tblCellSpacing w:w="15" w:type="dxa"/>
                </w:trPr>
                <w:tc>
                  <w:tcPr>
                    <w:tcW w:w="50" w:type="pct"/>
                    <w:hideMark/>
                  </w:tcPr>
                  <w:p w14:paraId="405339A9" w14:textId="77777777" w:rsidR="005401C1" w:rsidRDefault="005401C1">
                    <w:pPr>
                      <w:pStyle w:val="Bibliography"/>
                      <w:rPr>
                        <w:noProof/>
                      </w:rPr>
                    </w:pPr>
                    <w:r>
                      <w:rPr>
                        <w:noProof/>
                      </w:rPr>
                      <w:t xml:space="preserve">[36] </w:t>
                    </w:r>
                  </w:p>
                </w:tc>
                <w:tc>
                  <w:tcPr>
                    <w:tcW w:w="0" w:type="auto"/>
                    <w:hideMark/>
                  </w:tcPr>
                  <w:p w14:paraId="4CA9E8B4"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[37]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[38]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r w:rsidR="005401C1" w14:paraId="0EAE30CC" w14:textId="77777777">
                <w:trPr>
                  <w:divId w:val="299961452"/>
                  <w:tblCellSpacing w:w="15" w:type="dxa"/>
                </w:trPr>
                <w:tc>
                  <w:tcPr>
                    <w:tcW w:w="50" w:type="pct"/>
                    <w:hideMark/>
                  </w:tcPr>
                  <w:p w14:paraId="7D873164" w14:textId="77777777" w:rsidR="005401C1" w:rsidRDefault="005401C1">
                    <w:pPr>
                      <w:pStyle w:val="Bibliography"/>
                      <w:rPr>
                        <w:noProof/>
                      </w:rPr>
                    </w:pPr>
                    <w:r>
                      <w:rPr>
                        <w:noProof/>
                      </w:rPr>
                      <w:t xml:space="preserve">[39] </w:t>
                    </w:r>
                  </w:p>
                </w:tc>
                <w:tc>
                  <w:tcPr>
                    <w:tcW w:w="0" w:type="auto"/>
                    <w:hideMark/>
                  </w:tcPr>
                  <w:p w14:paraId="7B10C6CD"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4442DBF4" w14:textId="77777777">
                <w:trPr>
                  <w:divId w:val="299961452"/>
                  <w:tblCellSpacing w:w="15" w:type="dxa"/>
                </w:trPr>
                <w:tc>
                  <w:tcPr>
                    <w:tcW w:w="50" w:type="pct"/>
                    <w:hideMark/>
                  </w:tcPr>
                  <w:p w14:paraId="21EAB832" w14:textId="77777777" w:rsidR="005401C1" w:rsidRDefault="005401C1">
                    <w:pPr>
                      <w:pStyle w:val="Bibliography"/>
                      <w:rPr>
                        <w:noProof/>
                      </w:rPr>
                    </w:pPr>
                    <w:r>
                      <w:rPr>
                        <w:noProof/>
                      </w:rPr>
                      <w:t xml:space="preserve">[40] </w:t>
                    </w:r>
                  </w:p>
                </w:tc>
                <w:tc>
                  <w:tcPr>
                    <w:tcW w:w="0" w:type="auto"/>
                    <w:hideMark/>
                  </w:tcPr>
                  <w:p w14:paraId="63203F79"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2BA1A0EC" w14:textId="77777777">
                <w:trPr>
                  <w:divId w:val="299961452"/>
                  <w:tblCellSpacing w:w="15" w:type="dxa"/>
                </w:trPr>
                <w:tc>
                  <w:tcPr>
                    <w:tcW w:w="50" w:type="pct"/>
                    <w:hideMark/>
                  </w:tcPr>
                  <w:p w14:paraId="6456F8A1" w14:textId="77777777" w:rsidR="005401C1" w:rsidRDefault="005401C1">
                    <w:pPr>
                      <w:pStyle w:val="Bibliography"/>
                      <w:rPr>
                        <w:noProof/>
                      </w:rPr>
                    </w:pPr>
                    <w:r>
                      <w:rPr>
                        <w:noProof/>
                      </w:rPr>
                      <w:t xml:space="preserve">[41] </w:t>
                    </w:r>
                  </w:p>
                </w:tc>
                <w:tc>
                  <w:tcPr>
                    <w:tcW w:w="0" w:type="auto"/>
                    <w:hideMark/>
                  </w:tcPr>
                  <w:p w14:paraId="664098D8" w14:textId="77777777" w:rsidR="005401C1" w:rsidRDefault="005401C1">
                    <w:pPr>
                      <w:pStyle w:val="Bibliography"/>
                      <w:rPr>
                        <w:noProof/>
                      </w:rPr>
                    </w:pPr>
                    <w:r>
                      <w:rPr>
                        <w:noProof/>
                      </w:rPr>
                      <w:t xml:space="preserve">E. J. Belval, Y. Wei and M. Bevers, "A mixed integer program to model spatial wildfire behavior and suppression placement decisions," </w:t>
                    </w:r>
                    <w:r>
                      <w:rPr>
                        <w:i/>
                        <w:iCs/>
                        <w:noProof/>
                      </w:rPr>
                      <w:t xml:space="preserve">Can. J. For. Res., </w:t>
                    </w:r>
                    <w:r>
                      <w:rPr>
                        <w:noProof/>
                      </w:rPr>
                      <w:t xml:space="preserve">vol. 45, pp. 384-393, 2015.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[42]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[43]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[44]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[45]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[46]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[47]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[48]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[49]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[50]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[51]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[52]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[53]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2DAB38B" w14:textId="77777777">
                <w:trPr>
                  <w:divId w:val="299961452"/>
                  <w:tblCellSpacing w:w="15" w:type="dxa"/>
                </w:trPr>
                <w:tc>
                  <w:tcPr>
                    <w:tcW w:w="50" w:type="pct"/>
                    <w:hideMark/>
                  </w:tcPr>
                  <w:p w14:paraId="14EA11DC" w14:textId="77777777" w:rsidR="005401C1" w:rsidRDefault="005401C1">
                    <w:pPr>
                      <w:pStyle w:val="Bibliography"/>
                      <w:rPr>
                        <w:noProof/>
                      </w:rPr>
                    </w:pPr>
                    <w:r>
                      <w:rPr>
                        <w:noProof/>
                      </w:rPr>
                      <w:t xml:space="preserve">[54] </w:t>
                    </w:r>
                  </w:p>
                </w:tc>
                <w:tc>
                  <w:tcPr>
                    <w:tcW w:w="0" w:type="auto"/>
                    <w:hideMark/>
                  </w:tcPr>
                  <w:p w14:paraId="6F18804E" w14:textId="77777777" w:rsidR="005401C1" w:rsidRDefault="005401C1">
                    <w:pPr>
                      <w:pStyle w:val="Bibliography"/>
                      <w:rPr>
                        <w:noProof/>
                      </w:rPr>
                    </w:pPr>
                    <w:r>
                      <w:rPr>
                        <w:noProof/>
                      </w:rPr>
                      <w:t xml:space="preserve">J. Mandel, L. S. Bennethum, J. D. Beezley, J. L. Coen, C. C. Douglas, M. Kim and A. Vodacek, "A wildland fire model with data assimilation," </w:t>
                    </w:r>
                    <w:r>
                      <w:rPr>
                        <w:i/>
                        <w:iCs/>
                        <w:noProof/>
                      </w:rPr>
                      <w:t xml:space="preserve">Math. Comput. Simul., </w:t>
                    </w:r>
                    <w:r>
                      <w:rPr>
                        <w:noProof/>
                      </w:rPr>
                      <w:t xml:space="preserve">vol. 79, no. 3, pp. 584-606, 2008. </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[55]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[56]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[57]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[58]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[59]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5CE76FE4" w14:textId="77777777">
                <w:trPr>
                  <w:divId w:val="299961452"/>
                  <w:tblCellSpacing w:w="15" w:type="dxa"/>
                </w:trPr>
                <w:tc>
                  <w:tcPr>
                    <w:tcW w:w="50" w:type="pct"/>
                    <w:hideMark/>
                  </w:tcPr>
                  <w:p w14:paraId="61650C72" w14:textId="77777777" w:rsidR="005401C1" w:rsidRDefault="005401C1">
                    <w:pPr>
                      <w:pStyle w:val="Bibliography"/>
                      <w:rPr>
                        <w:noProof/>
                      </w:rPr>
                    </w:pPr>
                    <w:r>
                      <w:rPr>
                        <w:noProof/>
                      </w:rPr>
                      <w:t xml:space="preserve">[60] </w:t>
                    </w:r>
                  </w:p>
                </w:tc>
                <w:tc>
                  <w:tcPr>
                    <w:tcW w:w="0" w:type="auto"/>
                    <w:hideMark/>
                  </w:tcPr>
                  <w:p w14:paraId="6057D90B"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3</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6</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7</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8</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9</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10</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11</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5</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12</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13</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20</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21</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22</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14</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27</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17</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16</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28</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19</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29</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30</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31</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25</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26</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33</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34</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42</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43</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44</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46</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47</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48</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24</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53</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4</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15</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18</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52</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45</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23</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49</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50</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51</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35</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37</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38</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39</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40</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60</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36</b:RefOrder>
  </b:Source>
  <b:Source>
    <b:Tag>Belval15</b:Tag>
    <b:SourceType>JournalArticle</b:SourceType>
    <b:Guid>{E1E93689-2878-4E3F-9E8D-12C253431CB0}</b:Guid>
    <b:Author>
      <b:Author>
        <b:NameList>
          <b:Person>
            <b:Last>Belval</b:Last>
            <b:First>E. J.</b:First>
          </b:Person>
          <b:Person>
            <b:Last>Wei</b:Last>
            <b:First>Y.</b:First>
          </b:Person>
          <b:Person>
            <b:Last>Bevers</b:Last>
            <b:First>M.</b:First>
          </b:Person>
        </b:NameList>
      </b:Author>
    </b:Author>
    <b:Title>A mixed integer program to model spatial wildfire behavior and suppression placement decisions</b:Title>
    <b:JournalName>Can. J. For. Res.</b:JournalName>
    <b:Year>2015</b:Year>
    <b:Volume>45</b:Volume>
    <b:Pages>384-393</b:Pages>
    <b:RefOrder>41</b:RefOrder>
  </b:Source>
  <b:Source>
    <b:Tag>Maier98</b:Tag>
    <b:SourceType>JournalArticle</b:SourceType>
    <b:Guid>{D8CA8CB7-8CB1-4A22-8C6A-FF935E4CD78B}</b:Guid>
    <b:Author>
      <b:Author>
        <b:NameList>
          <b:Person>
            <b:Last>Maier</b:Last>
            <b:First>M. W.</b:First>
          </b:Person>
        </b:NameList>
      </b:Author>
    </b:Author>
    <b:Title>Architecting principles for systems-of-systems</b:Title>
    <b:JournalName>Syst. Eng.</b:JournalName>
    <b:Year>1998</b:Year>
    <b:Volume>1</b:Volume>
    <b:Issue>4</b:Issue>
    <b:Pages>267-284</b:Pages>
    <b:RefOrder>2</b:RefOrder>
  </b:Source>
  <b:Source>
    <b:Tag>ONeill01</b:Tag>
    <b:SourceType>JournalArticle</b:SourceType>
    <b:Guid>{E09F5AF1-E3DE-4907-8DEA-0F2D6BA8692F}</b:Guid>
    <b:Author>
      <b:Author>
        <b:NameList>
          <b:Person>
            <b:Last>O'Neill</b:Last>
            <b:First>M.</b:First>
          </b:Person>
          <b:Person>
            <b:Last>Ryan</b:Last>
            <b:First>C.</b:First>
          </b:Person>
        </b:NameList>
      </b:Author>
    </b:Author>
    <b:Title>Grammatical evolution</b:Title>
    <b:JournalName>IEEE Trans. Evol. Comput.</b:JournalName>
    <b:Year>2001</b:Year>
    <b:Volume>5</b:Volume>
    <b:Issue>4</b:Issue>
    <b:Pages>349-358</b:Pages>
    <b:RefOrder>32</b:RefOrder>
  </b:Source>
  <b:Source>
    <b:Tag>Mandel08</b:Tag>
    <b:SourceType>JournalArticle</b:SourceType>
    <b:Guid>{84AD2C56-C350-420F-800D-24153C9ED44A}</b:Guid>
    <b:Author>
      <b:Author>
        <b:NameList>
          <b:Person>
            <b:Last>Mandel</b:Last>
            <b:First>J.</b:First>
          </b:Person>
          <b:Person>
            <b:Last>Bennethum</b:Last>
            <b:First>L. S.</b:First>
          </b:Person>
          <b:Person>
            <b:Last>Beezley</b:Last>
            <b:First>J. D.</b:First>
          </b:Person>
          <b:Person>
            <b:Last>Coen</b:Last>
            <b:First>J. L.</b:First>
          </b:Person>
          <b:Person>
            <b:Last>Douglas</b:Last>
            <b:First>C. C.</b:First>
          </b:Person>
          <b:Person>
            <b:Last>Kim</b:Last>
            <b:First>M.</b:First>
          </b:Person>
          <b:Person>
            <b:Last>Vodacek</b:Last>
            <b:First>A.</b:First>
          </b:Person>
        </b:NameList>
      </b:Author>
    </b:Author>
    <b:Title>A wildland fire model with data assimilation</b:Title>
    <b:JournalName>Math. Comput. Simul.</b:JournalName>
    <b:Year>2008</b:Year>
    <b:Volume>79</b:Volume>
    <b:Issue>3</b:Issue>
    <b:Pages>584-606</b:Pages>
    <b:RefOrder>54</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