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A Decision Support Architecture With a Verified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[47], mean Rothermel spread rate divided by 30 m/min [6] and fire-weather inputs [48]; weather severity clips 0.45 min(wind/20, 1) + 0.35(1 − humidity/100) + 0.20 clip((temperature − 15)/25). Ignition proximity is one inside a burning region, zero without fire, and otherwise clipped 1 − distance/(half-map diagonal); fuel load averages remaining fuel [44]. Asset exposure is maximum priority, weighting buildings, critical facilities, min–max population and inverted min–max route distance by 0.20, 0.40, 0.25 and 0.15 [4], and accessibility is mean terrain access [49]. Road coverage is divided by 0.05, and staged capacity times availability by 0.05 times maximum capacity times regional cell count [45],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three proposal revisions.</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