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t>
      </w:r>
      <w:r>
        <w:t xml:space="preserve">which increases with wind speed in m/s.</w:t>
      </w:r>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w:t>
      </w:r>
      <w:r>
        <w:t xml:space="preserve">G5 and G6, the same test on each of two independently seeded futures, require a strict gain.</w:t>
      </w:r>
      <w:r>
        <w:t xml:space="preserve">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w:t>
      </w:r>
      <w:r>
        <w:t xml:space="preserve">The 40-rule control comprises the five seeds and 35 additional rules over the same families. A second hand-written control adds to the five seeds six composed tactics written from initial-attack practice over the seven effects, an aerial retardant line ahead of the head, structure protection, a flank line, a rear anchor, an evacuation belt and a burnout behind a cleared line, installed at minute 0.</w:t>
      </w:r>
      <w:r>
        <w:t xml:space="preserve">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only; the remaining rows are reported with unadjusted intervals and are exploratory.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since only spotting is stochastic.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The admitted objects lower forecast physical cost on their worse future by a median 0.008; a margin of 0.001 in G7 would have refused 92 of them.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w:t>
      </w:r>
      <w:r>
        <w:t xml:space="preserve">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installed as fixed rules, carry most of it: derived from 75 worlds and installed before 75 unseen worlds, they reduce area by 50 ± 15%.</w:t>
      </w:r>
      <w:r>
        <w:t xml:space="preserve">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installed in the closed layer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