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set of rules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as a rule for reuse.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domain three times larger. Equal-budget controls locate the gain: a search over the closed vocabulary reaches two thirds of it and a random proposer three quarters, a hand-written doctrine over the same effects gains little, and withdrawing each admitted object after one cycle removes the gain. The gain therefore rests on the gated search over the effect grammar and on the doctrine record,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In S5 the confidence of every reading, selected for corruption or not, is multiplied by 0.8, so the closed layer knows the outage rate but not which readings are corrupted.</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III lists the controls. Each keeps the worlds and gates of GODA and changes one thing: the candidate source, the search budget, the variations, the futures the gates read or the persistence of what is admitted; the ungated controls admit after G1 to G4 with the no-harm guard still in place. The repeat uses the same worlds with new model calls; the independent-future test selects on the two standard shadow streams and completes G5 to G8 on two further streams, so the final test does not reuse the futures of the selection.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The gate, persistence, parity and coating-parity ablations and the effect-removal replay are listed in Table III and defined where their results are reported. Each setting has its own paired Closed reference. The six hand-written tactics of Table IV, written from initial-attack practice over the seven effects, extend the five seeds as rules of the doctrine that fire on their antecedents and place their clauses by sector and band, so this control is a fixed library with the full effect repertoire from the first cycle.</w:t>
      </w:r>
      <w:r>
        <w:fldChar w:fldCharType="begin"/>
      </w:r>
      <w:r>
        <w:instrText xml:space="preserve"> REF _RefTab_expert \h </w:instrText>
      </w:r>
      <w:r>
        <w:fldChar w:fldCharType="separate"/>
      </w:r>
      <w:r>
        <w:t xml:space="preserve"/>
      </w:r>
      <w:r>
        <w:fldChar w:fldCharType="end"/>
      </w:r>
      <w:r>
        <w:t xml:space="preserve">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 xml:space="preserve">Controls and tests (each keeps the worlds of GODA and, unless stated, gates G1–G8)</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750"/>
        <w:gridCol w:w="2290"/>
        <w:gridCol w:w="1000"/>
      </w:tblGrid>
      <w:tr w:rsidR="00FF0CB1" w14:paraId="04E2DAB7" w14:textId="77777777" w:rsidTr="00284E68">
        <w:tc>
          <w:tcPr>
            <w:tcW w:w="175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229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0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Candidate source, search and gates</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Closed (reference)</w:t>
            </w:r>
          </w:p>
        </w:tc>
        <w:tc>
          <w:tcPr>
            <w:tcW w:w="2290" w:type="dxa"/>
          </w:tcPr>
          <w:p w14:paraId="66E0997B" w14:textId="77777777" w:rsidR="00FF0CB1" w:rsidRDefault="00DB0B75">
            <w:pPr>
              <w:keepNext/>
              <w:spacing w:line="220" w:lineRule="auto"/>
              <w:jc w:val="center"/>
            </w:pPr>
            <w:r>
              <w:rPr>
                <w:sz w:val="18"/>
              </w:rPr>
              <w:t xml:space="preserve">no open layer</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or LLM, one</w:t>
            </w:r>
          </w:p>
        </w:tc>
        <w:tc>
          <w:tcPr>
            <w:tcW w:w="229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0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small; LLM, candidates only</w:t>
            </w:r>
          </w:p>
        </w:tc>
        <w:tc>
          <w:tcPr>
            <w:tcW w:w="229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0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full; families only; with variations</w:t>
            </w:r>
          </w:p>
        </w:tc>
        <w:tc>
          <w:tcPr>
            <w:tcW w:w="229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Hand-written seeds, with variations</w:t>
            </w:r>
          </w:p>
        </w:tc>
        <w:tc>
          <w:tcPr>
            <w:tcW w:w="2290" w:type="dxa"/>
          </w:tcPr>
          <w:p w14:paraId="66E0997B" w14:textId="77777777" w:rsidR="00FF0CB1" w:rsidRDefault="00DB0B75">
            <w:pPr>
              <w:keepNext/>
              <w:spacing w:line="220" w:lineRule="auto"/>
              <w:jc w:val="center"/>
            </w:pPr>
            <w:r>
              <w:rPr>
                <w:sz w:val="18"/>
              </w:rPr>
              <w:t xml:space="preserve">Table IV tactics as seeds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w:t>
            </w:r>
          </w:p>
        </w:tc>
        <w:tc>
          <w:tcPr>
            <w:tcW w:w="2290" w:type="dxa"/>
          </w:tcPr>
          <w:p w14:paraId="66E0997B" w14:textId="77777777" w:rsidR="00FF0CB1" w:rsidRDefault="00DB0B75">
            <w:pPr>
              <w:keepNext/>
              <w:spacing w:line="220" w:lineRule="auto"/>
              <w:jc w:val="center"/>
            </w:pPr>
            <w:r>
              <w:rPr>
                <w:sz w:val="18"/>
              </w:rPr>
              <w:t xml:space="preserve">population 12, three generations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and GODA at 12 and 24</w:t>
            </w:r>
          </w:p>
        </w:tc>
        <w:tc>
          <w:tcPr>
            <w:tcW w:w="2290" w:type="dxa"/>
          </w:tcPr>
          <w:p w14:paraId="66E0997B" w14:textId="77777777" w:rsidR="00FF0CB1" w:rsidRDefault="00DB0B75">
            <w:pPr>
              <w:keepNext/>
              <w:spacing w:line="220" w:lineRule="auto"/>
              <w:jc w:val="center"/>
            </w:pPr>
            <w:r>
              <w:rPr>
                <w:sz w:val="18"/>
              </w:rPr>
              <w:t xml:space="preserve">search budget</w:t>
            </w:r>
          </w:p>
        </w:tc>
        <w:tc>
          <w:tcPr>
            <w:tcW w:w="10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GODA repeat; independent gates</w:t>
            </w:r>
          </w:p>
        </w:tc>
        <w:tc>
          <w:tcPr>
            <w:tcW w:w="2290" w:type="dxa"/>
          </w:tcPr>
          <w:p w14:paraId="66E0997B" w14:textId="77777777" w:rsidR="00FF0CB1" w:rsidRDefault="00DB0B75">
            <w:pPr>
              <w:keepNext/>
              <w:spacing w:line="220" w:lineRule="auto"/>
              <w:jc w:val="center"/>
            </w:pPr>
            <w:r>
              <w:rPr>
                <w:sz w:val="18"/>
              </w:rPr>
              <w:t xml:space="preserve">new model calls; G5–G8 on two further streams</w:t>
            </w:r>
          </w:p>
        </w:tc>
        <w:tc>
          <w:tcPr>
            <w:tcW w:w="10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Gates on one future, G5 only</w:t>
            </w:r>
          </w:p>
        </w:tc>
        <w:tc>
          <w:tcPr>
            <w:tcW w:w="2290" w:type="dxa"/>
          </w:tcPr>
          <w:p w14:paraId="66E0997B" w14:textId="77777777" w:rsidR="00FF0CB1" w:rsidRDefault="00DB0B75">
            <w:pPr>
              <w:keepNext/>
              <w:spacing w:line="220" w:lineRule="auto"/>
              <w:jc w:val="center"/>
            </w:pPr>
            <w:r>
              <w:rPr>
                <w:sz w:val="18"/>
              </w:rPr>
              <w:t xml:space="preserve">one future; G6–G8 off</w:t>
            </w:r>
          </w:p>
        </w:tc>
        <w:tc>
          <w:tcPr>
            <w:tcW w:w="10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Admitted objects withdrawn</w:t>
            </w:r>
          </w:p>
        </w:tc>
        <w:tc>
          <w:tcPr>
            <w:tcW w:w="2290" w:type="dxa"/>
          </w:tcPr>
          <w:p w14:paraId="66E0997B" w14:textId="77777777" w:rsidR="00FF0CB1" w:rsidRDefault="00DB0B75">
            <w:pPr>
              <w:keepNext/>
              <w:spacing w:line="220" w:lineRule="auto"/>
              <w:jc w:val="center"/>
            </w:pPr>
            <w:r>
              <w:rPr>
                <w:sz w:val="18"/>
              </w:rPr>
              <w:t xml:space="preserve">no doctrine within the incident</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Brief parity; coating parity</w:t>
            </w:r>
          </w:p>
        </w:tc>
        <w:tc>
          <w:tcPr>
            <w:tcW w:w="229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Suppression errors (3)</w:t>
            </w:r>
          </w:p>
        </w:tc>
        <w:tc>
          <w:tcPr>
            <w:tcW w:w="2290" w:type="dxa"/>
          </w:tcPr>
          <w:p w14:paraId="66E0997B" w14:textId="77777777" w:rsidR="00FF0CB1" w:rsidRDefault="00DB0B75">
            <w:pPr>
              <w:keepNext/>
              <w:spacing w:line="220" w:lineRule="auto"/>
              <w:jc w:val="center"/>
            </w:pPr>
            <w:r>
              <w:rPr>
                <w:sz w:val="18"/>
              </w:rPr>
              <w:t xml:space="preserve">intensity, travel decay, knockdown ×1.5</w:t>
            </w:r>
          </w:p>
        </w:tc>
        <w:tc>
          <w:tcPr>
            <w:tcW w:w="10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Coating weakened, ineffective; wind ×1.5, ±30°</w:t>
            </w:r>
          </w:p>
        </w:tc>
        <w:tc>
          <w:tcPr>
            <w:tcW w:w="2290" w:type="dxa"/>
          </w:tcPr>
          <w:p w14:paraId="66E0997B" w14:textId="77777777" w:rsidR="00FF0CB1" w:rsidRDefault="00DB0B75">
            <w:pPr>
              <w:keepNext/>
              <w:spacing w:line="220" w:lineRule="auto"/>
              <w:jc w:val="center"/>
            </w:pPr>
            <w:r>
              <w:rPr>
                <w:sz w:val="18"/>
              </w:rPr>
              <w:t xml:space="preserve">coat effect halved or zero; spread rate, direction</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Spread kernel and embers; combined error</w:t>
            </w:r>
          </w:p>
        </w:tc>
        <w:tc>
          <w:tcPr>
            <w:tcW w:w="229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Price, stock, delay limits</w:t>
            </w:r>
          </w:p>
        </w:tc>
        <w:tc>
          <w:tcPr>
            <w:tcW w:w="2290" w:type="dxa"/>
          </w:tcPr>
          <w:p w14:paraId="66E0997B" w14:textId="77777777" w:rsidR="00FF0CB1" w:rsidRDefault="00DB0B75">
            <w:pPr>
              <w:keepNext/>
              <w:spacing w:line="220" w:lineRule="auto"/>
              <w:jc w:val="center"/>
            </w:pPr>
            <w:r>
              <w:rPr>
                <w:sz w:val="18"/>
              </w:rPr>
              <w:t xml:space="preserve">planner and world alike</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Perturbed state</w:t>
            </w:r>
          </w:p>
        </w:tc>
        <w:tc>
          <w:tcPr>
            <w:tcW w:w="2290" w:type="dxa"/>
          </w:tcPr>
          <w:p w14:paraId="66E0997B" w14:textId="77777777" w:rsidR="00FF0CB1" w:rsidRDefault="00DB0B75">
            <w:pPr>
              <w:keepNext/>
              <w:spacing w:line="220" w:lineRule="auto"/>
              <w:jc w:val="center"/>
            </w:pPr>
            <w:r>
              <w:rPr>
                <w:sz w:val="18"/>
              </w:rPr>
              <w:t xml:space="preserve">25% of burning cells unseen by forecasts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Cost functions; larger domain</w:t>
            </w:r>
          </w:p>
        </w:tc>
        <w:tc>
          <w:tcPr>
            <w:tcW w:w="229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0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Doctrine and transfer</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40 rules; six hand-written tactics</w:t>
            </w:r>
          </w:p>
        </w:tc>
        <w:tc>
          <w:tcPr>
            <w:tcW w:w="2290" w:type="dxa"/>
          </w:tcPr>
          <w:p w14:paraId="66E0997B" w14:textId="77777777" w:rsidR="00FF0CB1" w:rsidRDefault="00DB0B75">
            <w:pPr>
              <w:keepNext/>
              <w:spacing w:line="220" w:lineRule="auto"/>
              <w:jc w:val="center"/>
            </w:pPr>
            <w:r>
              <w:rPr>
                <w:sz w:val="18"/>
              </w:rPr>
              <w:t xml:space="preserve">full written doctrine; fixed library over the seven effects</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Recorded tactics; family withholding; S6–S8</w:t>
            </w:r>
          </w:p>
        </w:tc>
        <w:tc>
          <w:tcPr>
            <w:tcW w:w="229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0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Object and effect removal</w:t>
            </w:r>
          </w:p>
        </w:tc>
        <w:tc>
          <w:tcPr>
            <w:tcW w:w="2290" w:type="dxa"/>
          </w:tcPr>
          <w:p w14:paraId="66E0997B" w14:textId="77777777" w:rsidR="00FF0CB1" w:rsidRDefault="00DB0B75">
            <w:pPr>
              <w:keepNext/>
              <w:spacing w:line="220" w:lineRule="auto"/>
              <w:jc w:val="center"/>
            </w:pPr>
            <w:r>
              <w:rPr>
                <w:sz w:val="18"/>
              </w:rPr>
              <w:t xml:space="preserve">replay without one object or one effect</w:t>
            </w:r>
          </w:p>
        </w:tc>
        <w:tc>
          <w:tcPr>
            <w:tcW w:w="1000" w:type="dxa"/>
          </w:tcPr>
          <w:p w14:paraId="516CF367" w14:textId="77777777" w:rsidR="00FF0CB1" w:rsidRDefault="00DB0B75">
            <w:pPr>
              <w:keepNext/>
              <w:spacing w:line="220" w:lineRule="auto"/>
              <w:jc w:val="center"/>
            </w:pPr>
            <w:r>
              <w:rPr>
                <w:sz w:val="18"/>
              </w:rPr>
              <w:t xml:space="preserve">replay</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49 aggregate comparisons, the main comparison and every row of Tables VII and VIII,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VII and VIII carry unadjusted 95% intervals; the last column of each gives the Holm-adjusted p, under which 45 rows stay below 0.05, the exceptions being the two single random-candidate controls, the persistence ablation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VI carries that row beside the nominal one.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the record of admitted objects as doctrine within the incident, not the search alone, carries the gain.</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robustness comparisons (unadjusted 95% half-widths; p Holm-adjusted over the family of 49)</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These settings move one or three parameters at a time and are not a sweep of the parameter space; within them the ordering against Closed is unchanged in every row of Table VII,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49)</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the record of admitted objects as doctrine within the incident is necessary, since withdrawing each object after one cycle leaves no gain, and about two thirds of the gain travels with coating-bearing objects, which keep most of it when coating is priced and reach-limited.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