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41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41, under which 38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so its curve saturates by 24 forecasts;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and the ordering at equal budget does not change within the paired intervals,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12 forecasts</w:t>
            </w:r>
          </w:p>
        </w:tc>
        <w:tc>
          <w:tcPr>
            <w:tcW w:w="1100" w:type="dxa"/>
          </w:tcPr>
          <w:p w14:paraId="7685F90A" w14:textId="77777777" w:rsidR="00CB2143" w:rsidRDefault="00CB2143" w:rsidP="00074B69">
            <w:pPr>
              <w:keepNext/>
              <w:spacing w:line="220" w:lineRule="auto"/>
              <w:jc w:val="center"/>
            </w:pPr>
            <w:r>
              <w:rPr>
                <w:sz w:val="18"/>
              </w:rPr>
              <w:t xml:space="preserve">−36 ± 10</w:t>
            </w:r>
          </w:p>
        </w:tc>
        <w:tc>
          <w:tcPr>
            <w:tcW w:w="1100" w:type="dxa"/>
          </w:tcPr>
          <w:p w14:paraId="0CAFF43D" w14:textId="77777777" w:rsidR="00CB2143" w:rsidRDefault="00CB2143" w:rsidP="00074B69">
            <w:pPr>
              <w:keepNext/>
              <w:spacing w:line="220" w:lineRule="auto"/>
              <w:jc w:val="center"/>
            </w:pPr>
            <w:r>
              <w:rPr>
                <w:sz w:val="18"/>
              </w:rPr>
              <w:t xml:space="preserve">−27 ± 7</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24 forecasts</w:t>
            </w:r>
          </w:p>
        </w:tc>
        <w:tc>
          <w:tcPr>
            <w:tcW w:w="1100" w:type="dxa"/>
          </w:tcPr>
          <w:p w14:paraId="7685F90A" w14:textId="77777777" w:rsidR="00CB2143" w:rsidRDefault="00CB2143" w:rsidP="00074B69">
            <w:pPr>
              <w:keepNext/>
              <w:spacing w:line="220" w:lineRule="auto"/>
              <w:jc w:val="center"/>
            </w:pPr>
            <w:r>
              <w:rPr>
                <w:sz w:val="18"/>
              </w:rPr>
              <w:t xml:space="preserve">−49 ± 12</w:t>
            </w:r>
          </w:p>
        </w:tc>
        <w:tc>
          <w:tcPr>
            <w:tcW w:w="1100" w:type="dxa"/>
          </w:tcPr>
          <w:p w14:paraId="0CAFF43D" w14:textId="77777777" w:rsidR="00CB2143" w:rsidRDefault="00CB2143" w:rsidP="00074B69">
            <w:pPr>
              <w:keepNext/>
              <w:spacing w:line="220" w:lineRule="auto"/>
              <w:jc w:val="center"/>
            </w:pPr>
            <w:r>
              <w:rPr>
                <w:sz w:val="18"/>
              </w:rPr>
              <w:t xml:space="preserve">−37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Kernel, wind and coating errors combined</w:t>
            </w:r>
          </w:p>
        </w:tc>
        <w:tc>
          <w:tcPr>
            <w:tcW w:w="1100" w:type="dxa"/>
          </w:tcPr>
          <w:p w14:paraId="4CE8751C" w14:textId="77777777" w:rsidR="00CB2143" w:rsidRDefault="00CB2143" w:rsidP="00074B69">
            <w:pPr>
              <w:spacing w:line="220" w:lineRule="auto"/>
              <w:jc w:val="center"/>
            </w:pPr>
            <w:r>
              <w:rPr>
                <w:sz w:val="18"/>
              </w:rPr>
              <w:t xml:space="preserve">−30 ± 9</w:t>
            </w:r>
          </w:p>
        </w:tc>
        <w:tc>
          <w:tcPr>
            <w:tcW w:w="1100" w:type="dxa"/>
          </w:tcPr>
          <w:p w14:paraId="3BBF406B" w14:textId="77777777" w:rsidR="00CB2143" w:rsidRDefault="00CB2143" w:rsidP="00074B69">
            <w:pPr>
              <w:spacing w:line="220" w:lineRule="auto"/>
              <w:jc w:val="center"/>
            </w:pPr>
            <w:r>
              <w:rPr>
                <w:sz w:val="18"/>
              </w:rPr>
              <w:t xml:space="preserve">−23 ± 7</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Perturbed fire state, 25% unseen</w:t>
            </w:r>
          </w:p>
        </w:tc>
        <w:tc>
          <w:tcPr>
            <w:tcW w:w="1100" w:type="dxa"/>
          </w:tcPr>
          <w:p w14:paraId="4CE8751C" w14:textId="77777777" w:rsidR="00CB2143" w:rsidRDefault="00CB2143" w:rsidP="00074B69">
            <w:pPr>
              <w:spacing w:line="220" w:lineRule="auto"/>
              <w:jc w:val="center"/>
            </w:pPr>
            <w:r>
              <w:rPr>
                <w:sz w:val="18"/>
              </w:rPr>
              <w:t xml:space="preserve">−60 ± 13</w:t>
            </w:r>
          </w:p>
        </w:tc>
        <w:tc>
          <w:tcPr>
            <w:tcW w:w="1100" w:type="dxa"/>
          </w:tcPr>
          <w:p w14:paraId="3BBF406B" w14:textId="77777777" w:rsidR="00CB2143" w:rsidRDefault="00CB2143" w:rsidP="00074B69">
            <w:pPr>
              <w:spacing w:line="220" w:lineRule="auto"/>
              <w:jc w:val="center"/>
            </w:pPr>
            <w:r>
              <w:rPr>
                <w:sz w:val="18"/>
              </w:rPr>
              <w:t xml:space="preserve">−47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Domain 3.6 × 2.7 km, 30 worlds</w:t>
            </w:r>
          </w:p>
        </w:tc>
        <w:tc>
          <w:tcPr>
            <w:tcW w:w="1100" w:type="dxa"/>
          </w:tcPr>
          <w:p w14:paraId="4CE8751C" w14:textId="77777777" w:rsidR="00CB2143" w:rsidRDefault="00CB2143" w:rsidP="00074B69">
            <w:pPr>
              <w:spacing w:line="220" w:lineRule="auto"/>
              <w:jc w:val="center"/>
            </w:pPr>
            <w:r>
              <w:rPr>
                <w:sz w:val="18"/>
              </w:rPr>
              <w:t xml:space="preserve">−57 ± 26</w:t>
            </w:r>
          </w:p>
        </w:tc>
        <w:tc>
          <w:tcPr>
            <w:tcW w:w="1100" w:type="dxa"/>
          </w:tcPr>
          <w:p w14:paraId="3BBF406B" w14:textId="77777777" w:rsidR="00CB2143" w:rsidRDefault="00CB2143" w:rsidP="00074B69">
            <w:pPr>
              <w:spacing w:line="220" w:lineRule="auto"/>
              <w:jc w:val="center"/>
            </w:pPr>
            <w:r>
              <w:rPr>
                <w:sz w:val="18"/>
              </w:rPr>
              <w:t xml:space="preserve">−45 ± 15</w:t>
            </w:r>
          </w:p>
        </w:tc>
        <w:tc>
          <w:tcPr>
            <w:tcW w:w="1053" w:type="dxa"/>
          </w:tcPr>
          <w:p w14:paraId="3BBF406B" w14:textId="77777777" w:rsidR="00CB2143" w:rsidRDefault="00CB2143" w:rsidP="00074B69">
            <w:pPr>
              <w:spacing w:line="220" w:lineRule="auto"/>
              <w:jc w:val="center"/>
            </w:pPr>
            <w:r>
              <w:rPr>
                <w:sz w:val="18"/>
              </w:rPr>
              <w:t xml:space="preserve">&lt; 0.0001</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Acknowledgment</w:t>
          </w:r>
        </w:p>
        <w:p>
          <w:pPr>
            <w:pStyle w:val="Text"/>
          </w:pPr>
          <w:r>
            <w:t xml:space="preserve">Language editing of the manuscript and assistance with the experiment scripts used Claude (Anthropic). The authors reviewed all text and code and take responsibility for the content. The role of the language model as a proposer inside the method is described in Section IV.</w:t>
          </w:r>
        </w:p>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[61] </w:t>
                    </w:r>
                  </w:p>
                </w:tc>
                <w:tc>
                  <w:tcPr>
                    <w:tcW w:w="0" w:type="auto"/>
                    <w:hideMark/>
                  </w:tcPr>
                  <w:p w14:paraId="6057D90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