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GODA lowers burned area by 61% against the closed layer and by 24% against an evolutionary search with the same 36-forecast budget over the same grammar, raises extinguished incidents from 52% to 91%, and lowers response cost by 46% and affected population, the initial residents of burned cells, by 80%. The gated search carries most of the gain: behind the same gates, a search over the closed vocabulary reaches two thirds of it and a random proposer three quarters, whereas a hand-written doctrine over the same effects gains little; with independent gate futures the advantage is 54%. The admitted interventions recur across incidents and, recorded as rules, keep most of the gain on held-out ones. Regional agents partition the decision core, which decides in under one second between model calls.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joins several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w:t>
      </w:r>
      <w:r>
        <w:t xml:space="preserv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xml:space="preserve">, keeping the evaluator 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[33]</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[34]</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[35]</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[36]</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[37, 38]</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[39]</w:t>
          </w:r>
          <w:r>
            <w:fldChar w:fldCharType="end"/>
          </w:r>
        </w:sdtContent>
      </w:sdt>
      <w:r>
        <w:t xml:space="preserve"> also search a fixed vocabulary, but offline, whereas the search here runs during the incident on its forecasts.</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[40]</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[41]</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[42]</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[43]</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[44]</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[45]</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[46]</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[47]</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[48]</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[49]</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[50]</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[51]</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shadow forecasts.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[52]</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[53]</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w:t>
      </w:r>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[54]</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and spread rates are expressed in cell lengths per substep, so Ψk and Θign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w:t>
      </w:r>
    </w:p>
    <w:p w14:paraId="69E58B39" w14:textId="77777777" w:rsidR="00510E30" w:rsidRDefault="00D31F60">
      <w:pPr>
        <w:pStyle w:val="Text"/>
      </w:pPr>
      <w:r>
        <w:t xml:space="preserve">Extraction maps and their constants, which follow the fire-weather index [55] and the operational priority method [56],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 xml:space="preserve">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δadm a small positive margin that excludes ties,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r>
        <w:t xml:space="preserve">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w:t>
      </w:r>
      <w:r>
        <w:t xml:space="preserve">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and carry terrain, standard fuel models, settlements with population, roads and water sources; winds of 8 to 12 m/s and dead fuel moisture of 6 to 8% give dry, windy conditions.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one turn per request and tools disabled.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[57]</w:t>
          </w:r>
          <w:r>
            <w:fldChar w:fldCharType="end"/>
          </w:r>
        </w:sdtContent>
      </w:sdt>
      <w:r>
        <w:t xml:space="preserve">, so the model name is recorded and the repeat run of Table VII reports the run-to-run change. A request asks for six candidates.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raises fuel moisture and decays by 0.003 per min. The quality threshold η is 0.60, the cost ceiling JTH 0.35, the required gain over inaction δgain 5%.</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35 aggregate comparisons, namely the main comparison and every other row of Tables VII and VIII, using one million random sign assignments.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Each free-spread run is compared at equal burned area, so the scores measure shape and position rather than rate of spread, which the recorded fires, fought from their first hours, do not constrain. </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The evolutionary search reaches 49 ± 12%; paired against it, GODA lowers area by a further 24 ± 18% and total cost by 17 ± 11%, better in 81 worlds and worse in 58.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r w:rsidR="00CB2143" w14:paraId="6FEEB272" w14:textId="77777777" w:rsidTr="00074B69">
        <w:tc>
          <w:tcPr>
            <w:tcW w:w="2127" w:type="dxa"/>
          </w:tcPr>
          <w:p w14:paraId="04073796" w14:textId="77777777" w:rsidR="00CB2143" w:rsidRDefault="00CB2143" w:rsidP="00074B69">
            <w:pPr>
              <w:spacing w:line="220" w:lineRule="auto"/>
            </w:pPr>
            <w:r>
              <w:rPr>
                <w:sz w:val="18"/>
              </w:rPr>
              <w:t>Spread kernel and ember model</w:t>
            </w:r>
          </w:p>
        </w:tc>
        <w:tc>
          <w:tcPr>
            <w:tcW w:w="1417" w:type="dxa"/>
          </w:tcPr>
          <w:p w14:paraId="4CE8751C" w14:textId="77777777" w:rsidR="00CB2143" w:rsidRDefault="00CB2143" w:rsidP="00074B69">
            <w:pPr>
              <w:spacing w:line="220" w:lineRule="auto"/>
              <w:jc w:val="center"/>
            </w:pPr>
            <w:r>
              <w:rPr>
                <w:sz w:val="18"/>
              </w:rPr>
              <w:t>−56 ± 12</w:t>
            </w:r>
          </w:p>
        </w:tc>
        <w:tc>
          <w:tcPr>
            <w:tcW w:w="1559" w:type="dxa"/>
          </w:tcPr>
          <w:p w14:paraId="3BBF406B" w14:textId="77777777" w:rsidR="00CB2143" w:rsidRDefault="00CB2143" w:rsidP="00074B69">
            <w:pPr>
              <w:spacing w:line="220" w:lineRule="auto"/>
              <w:jc w:val="center"/>
            </w:pPr>
            <w:r>
              <w:rPr>
                <w:sz w:val="18"/>
              </w:rPr>
              <w:t>−45 ± 9</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[53],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Under the structurally different spread model, where the shape of the front and the mechanism of long-range ignition differ between the planner and the world, the advantage is 56 ± 12% with 85% of incidents extinguished against 52%, worse in 7 of 150 worlds.</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composed interventions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and under a structurally different spread model in the live world, so it does not rest on the planner sharing the structure of the world;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and aerial coating, are recommendations; their execution follows the safety rules of the operating agency, which lie outside the decision core.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The secondary comparisons are reported with unadjusted intervals and the language model is a hosted one, so the attribution among search, grammar and proposer is indicative rather than exact. Future work will calibrate the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[33]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[34]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[35]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[36]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[37]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[38]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2BA1A0EC" w14:textId="77777777">
                <w:trPr>
                  <w:divId w:val="299961452"/>
                  <w:tblCellSpacing w:w="15" w:type="dxa"/>
                </w:trPr>
                <w:tc>
                  <w:tcPr>
                    <w:tcW w:w="50" w:type="pct"/>
                    <w:hideMark/>
                  </w:tcPr>
                  <w:p w14:paraId="6456F8A1" w14:textId="77777777" w:rsidR="005401C1" w:rsidRDefault="005401C1">
                    <w:pPr>
                      <w:pStyle w:val="Bibliography"/>
                      <w:rPr>
                        <w:noProof/>
                      </w:rPr>
                    </w:pPr>
                    <w:r>
                      <w:rPr>
                        <w:noProof/>
                      </w:rPr>
                      <w:t xml:space="preserve">[39] </w:t>
                    </w:r>
                  </w:p>
                </w:tc>
                <w:tc>
                  <w:tcPr>
                    <w:tcW w:w="0" w:type="auto"/>
                    <w:hideMark/>
                  </w:tcPr>
                  <w:p w14:paraId="664098D8"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1622-1633, 2015.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[40]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[41]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[42]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[43]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[44]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[45]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[46]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[47]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[48]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[49]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[50]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[51]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[52]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[53]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[54]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[55]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[56]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[57]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40</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41</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42</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44</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45</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46</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51</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52</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54</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55</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56</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50</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43</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47</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48</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49</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53</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33</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35</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36</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37</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38</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57</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34</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1622-1633</b:Pages>
    <b:RefOrder>39</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