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and a doctrine record keeps every admitted object in force as a rule. A self-tuning Takagi-Sugeno rule base forms the closed layer; in the open layer a pretrained language model proposes candidates, but any proposer returning the same structured objects can be used.</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against the closed layer and raises extinguished incidents from 52% to 91%; under three model errors combined the reduction is 30%, and it holds on a domain three times larger. Equal-budget controls locate the gain. The strongest optimizer over the closed vocabulary, an evolutionary search over the six intervention families, recovers 70% of it, and GODA lowers burned area by a further 32 ± 16% against that reference (p &lt; 0.0001 after a Holm adjustment over 57 comparisons); a random proposer over the composed grammar recovers three quarters; a hand-written doctrine over the same effects, as written or tuned on forecasts, gains little; and withdrawing every admitted object after one cycle removes the gain entirely. The gain therefore rests on the gated search over the effect grammar and on admitted objects that stay in force through the incident, not on the proposer. Recorded as rules, the admitted interventions keep most of the gain on held-out worlds and scenario families. The hazard model is assessed separately by hindcast of four recorded fires; the effect operators are modelling assumptions bounded by sensitivity tests, including a sweep of the coating effectiveness, and are not calibrated on operations.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interface,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