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rule set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in force as a rule.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larger domain. Equal-budget controls locate the gain: a search over the closed vocabulary and a random proposer recover much of it, a hand-written doctrine over the same effects gains little, and withdrawing each admitted object after one cycle removes the gain. The gain therefore rests on the gated search over the effect grammar and on admitted objects that stay in force through the incident,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bounded open decision space, compositional interventions,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whose parts keep their own management </w:t>
      </w:r>
      <w:sdt>
        <w:sdtPr>
          <w:id w:val="-1999990991"/>
          <w:citation/>
        </w:sdtPr>
        <w:sdtEndPr/>
        <w:sdtContent>
          <w:r>
            <w:fldChar w:fldCharType="begin"/>
          </w:r>
          <w:r>
            <w:instrText xml:space="preserve"> CITATION Turoff04 \l 1033 </w:instrText>
          </w:r>
          <w:r>
            <w:fldChar w:fldCharType="separate"/>
          </w:r>
          <w:r w:rsidR="005401C1">
            <w:rPr>
              <w:noProof/>
            </w:rPr>
            <w:t xml:space="preserve">[1]</w:t>
          </w:r>
          <w:r>
            <w:fldChar w:fldCharType="end"/>
          </w:r>
        </w:sdtContent>
      </w:sdt>
      <w:r>
        <w:t xml:space="preserve"/>
      </w:r>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 xml:space="preserve">[2]</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 xml:space="preserve">[3]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 xml:space="preserve">[2]</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 xml:space="preserve">[3]</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 xml:space="preserve">[4]</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 xml:space="preserve">[5]</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 xml:space="preserve">[7]</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 xml:space="preserve">[8]</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 xml:space="preserve">[9]</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 xml:space="preserve">[4]</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 xml:space="preserve">[10]</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 xml:space="preserve">[11]</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 xml:space="preserve">[12]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 xml:space="preserve">[13]</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 xml:space="preserve">Three structural limits recur across these systems. First, a rule base, tactic menu, or optimization model fixes available orders before the incident, so the system only ranks what it is given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 xml:space="preserve">[10]</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 xml:space="preserve">[14]</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 xml:space="preserve">[15]</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 xml:space="preserve">[16]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 xml:space="preserve">[17]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 xml:space="preserve">[18]</w:t>
          </w:r>
          <w:r w:rsidR="00D31F60">
            <w:fldChar w:fldCharType="end"/>
          </w:r>
        </w:sdtContent>
      </w:sdt>
      <w:r w:rsidR="00D31F60">
        <w:t xml:space="preserve">. Second, uncertainty treatments require prior distributions or belief assignments that real-time sensing alone cannot supply, and the reasoning behind a recommendation may remain accessible only through post-hoc attribution.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 xml:space="preserve">[4]</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 xml:space="preserve">[10]</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 xml:space="preserve">[7]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 xml:space="preserve">[19]</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 xml:space="preserve">[4]</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 xml:space="preserve">[8]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 xml:space="preserve">[9]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 xml:space="preserve">[10]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 xml:space="preserve">[3]</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 xml:space="preserve">[20]</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 xml:space="preserve">[21]</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 xml:space="preserve">[22]</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 xml:space="preserve">[3]</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 xml:space="preserve">[18]</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w:t>
      </w:r>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 xml:space="preserve">[14]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 xml:space="preserve">[16]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 xml:space="preserve">[15]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 xml:space="preserve">[23]</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 xml:space="preserve">[18]</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 xml:space="preserve">[17]</w:t>
          </w:r>
          <w:r>
            <w:fldChar w:fldCharType="end"/>
          </w:r>
        </w:sdtContent>
      </w:sdt>
      <w:r>
        <w:t xml:space="preserve">, combines compatible modules,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 xml:space="preserve">[24]</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 xml:space="preserve">[25]</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 xml:space="preserve">[26]</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 xml:space="preserve">[27]</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 xml:space="preserve">[28]</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 xml:space="preserve">[29]</w:t>
          </w:r>
          <w:r>
            <w:fldChar w:fldCharType="end"/>
          </w:r>
        </w:sdtContent>
      </w:sdt>
      <w:r>
        <w:t xml:space="preserve">, where the model generates and an external critic accepts;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 xml:space="preserve">[30]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 xml:space="preserve">[31]</w:t>
          </w:r>
          <w:r>
            <w:fldChar w:fldCharType="end"/>
          </w:r>
        </w:sdtContent>
      </w:sdt>
      <w:r>
        <w:t xml:space="preserve"> also search a fixed vocabulary, but offline, whereas the search here runs during the incident on its forecasts. It is a receding-horizon, simulation-based optimization over a discrete grammar, run once per decision cycle; it differs from model predictive control in optimizing over composed objects that persist as rules rather than over a continuous input trajectory.</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 xml:space="preserve">[32]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 xml:space="preserve">[33]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 xml:space="preserve">[34]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 xml:space="preserve">[35]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 xml:space="preserve">[36]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 xml:space="preserve">[37]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 xml:space="preserve">[38]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with an external evaluator, from program search to reward design and embodied skill libraries, follow the same division of labor.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 xml:space="preserve">[39]</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w:t>
      </w:r>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 xml:space="preserve">[19]</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 xml:space="preserve">[40]</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 xml:space="preserve">[41]</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 xml:space="preserve">[42]</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w:t>
      </w:r>
      <w:sdt>
        <w:sdtPr>
          <w:id w:val="981952928"/>
          <w:citation/>
        </w:sdtPr>
        <w:sdtEndPr/>
        <w:sdtContent>
          <w:r>
            <w:fldChar w:fldCharType="begin"/>
          </w:r>
          <w:r>
            <w:instrText xml:space="preserve"> CITATION Finney06 \l 1033 </w:instrText>
          </w:r>
          <w:r>
            <w:fldChar w:fldCharType="separate"/>
          </w:r>
          <w:r w:rsidR="005401C1">
            <w:rPr>
              <w:noProof/>
            </w:rPr>
            <w:t xml:space="preserve">[7]</w:t>
          </w:r>
          <w:r>
            <w:fldChar w:fldCharType="end"/>
          </w:r>
        </w:sdtContent>
      </w:sdt>
      <w:r>
        <w:t xml:space="preserve">.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w:t>
      </w:r>
      <w:sdt>
        <w:sdtPr>
          <w:id w:val="278538987"/>
          <w:citation/>
        </w:sdtPr>
        <w:sdtEndPr/>
        <w:sdtContent>
          <w:r>
            <w:fldChar w:fldCharType="begin"/>
          </w:r>
          <w:r>
            <w:instrText xml:space="preserve"> CITATION VanWagner87 \l 1033 </w:instrText>
          </w:r>
          <w:r>
            <w:fldChar w:fldCharType="separate"/>
          </w:r>
          <w:r w:rsidR="005401C1">
            <w:rPr>
              <w:noProof/>
            </w:rPr>
            <w:t xml:space="preserve">[43]</w:t>
          </w:r>
          <w:r>
            <w:fldChar w:fldCharType="end"/>
          </w:r>
        </w:sdtContent>
      </w:sdt>
      <w:r>
        <w:t xml:space="preserve"> and the operational priority method </w:t>
      </w:r>
      <w:sdt>
        <w:sdtPr>
          <w:id w:val="641725993"/>
          <w:citation/>
        </w:sdtPr>
        <w:sdtEndPr/>
        <w:sdtContent>
          <w:r>
            <w:fldChar w:fldCharType="begin"/>
          </w:r>
          <w:r>
            <w:instrText xml:space="preserve"> CITATION RodriguezSilva14 \l 1033 </w:instrText>
          </w:r>
          <w:r>
            <w:fldChar w:fldCharType="separate"/>
          </w:r>
          <w:r w:rsidR="005401C1">
            <w:rPr>
              <w:noProof/>
            </w:rPr>
            <w:t xml:space="preserve">[44]</w:t>
          </w:r>
          <w:r>
            <w:fldChar w:fldCharType="end"/>
          </w:r>
        </w:sdtContent>
      </w:sdt>
      <w:r>
        <w:t xml:space="preserve">,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ψ</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 xml:space="preserve">a</w:t>
            </w:r>
            <w:r>
              <w:t>)</w:t>
            </w:r>
          </w:p>
        </w:tc>
      </w:tr>
      <w:tr w:rsidR="003949BC" w14:paraId="3AE8D89B" w14:textId="77777777" w:rsidTr="00025AE1">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(13b)</w:t>
            </w:r>
          </w:p>
        </w:tc>
      </w:tr>
      <w:tr w:rsidR="003949BC" w14:paraId="3AE8D89B" w14:textId="77777777" w:rsidTr="00025AE1">
        <w:trPr>
          <w:cantSplit/>
          <w:jc w:val="center"/>
        </w:trPr>
        <w:tc>
          <w:tcPr>
            <w:tcW w:w="4500" w:type="pct"/>
            <w:vAlign w:val="center"/>
          </w:tcPr>
          <w:p>
            <w:pPr>
              <w:keepNext/>
              <w:jc w:val="center"/>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min</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(13c)</w:t>
            </w:r>
          </w:p>
        </w:tc>
      </w:tr>
      <w:tr w:rsidR="003949BC" w14:paraId="3AE8D89B" w14:textId="77777777" w:rsidTr="00025AE1">
        <w:trPr>
          <w:cantSplit/>
          <w:jc w:val="center"/>
        </w:trPr>
        <w:tc>
          <w:tcPr>
            <w:tcW w:w="4500" w:type="pct"/>
            <w:vAlign w:val="center"/>
          </w:tcPr>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(13d)</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 xml:space="preserve">a</w:t>
            </w:r>
            <w:r>
              <w:t>)</w:t>
            </w:r>
          </w:p>
        </w:tc>
      </w:tr>
      <w:tr w:rsidR="004F7DCA" w14:paraId="3618BEF6" w14:textId="77777777" w:rsidTr="002B2CE5">
        <w:trPr>
          <w:cantSplit/>
          <w:jc w:val="center"/>
        </w:trPr>
        <w:tc>
          <w:tcPr>
            <w:tcW w:w="4500" w:type="pct"/>
            <w:vAlign w:val="center"/>
          </w:tcPr>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(15b)</w:t>
            </w:r>
          </w:p>
        </w:tc>
      </w:tr>
      <w:tr w:rsidR="004F7DCA" w14:paraId="3618BEF6" w14:textId="77777777" w:rsidTr="002B2CE5">
        <w:trPr>
          <w:cantSplit/>
          <w:jc w:val="center"/>
        </w:trPr>
        <w:tc>
          <w:tcPr>
            <w:tcW w:w="4500" w:type="pct"/>
            <w:vAlign w:val="center"/>
          </w:tcPr>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(15c)</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 xml:space="preserve">[22]</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 xml:space="preserve">a</w:t>
            </w:r>
            <w:r>
              <w:t>)</w:t>
            </w:r>
          </w:p>
        </w:tc>
      </w:tr>
      <w:tr w:rsidR="00FB6C00" w14:paraId="551C60C7" w14:textId="77777777" w:rsidTr="00CA6688">
        <w:trPr>
          <w:cantSplit/>
          <w:jc w:val="center"/>
        </w:trPr>
        <w:tc>
          <w:tcPr>
            <w:tcW w:w="4500" w:type="pct"/>
            <w:vAlign w:val="center"/>
          </w:tcPr>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(16b)</w:t>
            </w:r>
          </w:p>
        </w:tc>
      </w:tr>
      <w:tr w:rsidR="00FB6C00" w14:paraId="551C60C7" w14:textId="77777777" w:rsidTr="00CA6688">
        <w:trPr>
          <w:cantSplit/>
          <w:jc w:val="center"/>
        </w:trPr>
        <w:tc>
          <w:tcPr>
            <w:tcW w:w="4500" w:type="pct"/>
            <w:vAlign w:val="center"/>
          </w:tcPr>
          <w:p>
            <w:pPr>
              <w:keepNext/>
              <w:jc w:val="center"/>
            </w:pPr>
            <m:oMathPara>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(16c)</w:t>
            </w:r>
          </w:p>
        </w:tc>
      </w:tr>
      <w:tr w:rsidR="00FB6C00" w14:paraId="551C60C7" w14:textId="77777777" w:rsidTr="00CA6688">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(16d)</w:t>
            </w:r>
          </w:p>
        </w:tc>
      </w:tr>
      <w:tr w:rsidR="00FB6C00" w14:paraId="551C60C7" w14:textId="77777777" w:rsidTr="00CA6688">
        <w:trPr>
          <w:cantSplit/>
          <w:jc w:val="center"/>
        </w:trPr>
        <w:tc>
          <w:tcPr>
            <w:tcW w:w="4500" w:type="pct"/>
            <w:vAlign w:val="center"/>
          </w:tcPr>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(16e)</w:t>
            </w:r>
          </w:p>
        </w:tc>
      </w:tr>
      <w:tr w:rsidR="00FB6C00" w14:paraId="551C60C7" w14:textId="77777777" w:rsidTr="00CA6688">
        <w:trPr>
          <w:cantSplit/>
          <w:jc w:val="center"/>
        </w:trPr>
        <w:tc>
          <w:tcPr>
            <w:tcW w:w="4500" w:type="pct"/>
            <w:vAlign w:val="center"/>
          </w:tcPr>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(16f)</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are the left corners of term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E</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 xml:space="preserve">a</w:t>
            </w:r>
            <w:r>
              <w:t>)</w:t>
            </w:r>
          </w:p>
        </w:tc>
      </w:tr>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ϑ</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(18b)</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sSub>
                      <m:e>
                        <m:r>
                          <w:rPr>
                            <w:rFonts w:ascii="Cambria Math" w:hAnsi="Cambria Math"/>
                          </w:rPr>
                          <m:t>ϑ</m:t>
                        </m:r>
                      </m:e>
                      <m:sub>
                        <m:r>
                          <w:rPr>
                            <w:rFonts w:ascii="Cambria Math" w:hAnsi="Cambria Math"/>
                          </w:rPr>
                          <m:t>c</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(18c)</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(18d)</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ϑ</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 xml:space="preserve">The other effects use maxima over the existing fields on the same mask. Wet raises capacity to ϑ</w:t>
      </w:r>
      <w:r>
        <w:rPr>
          <w:vertAlign w:val="subscript"/>
        </w:rPr>
        <w:t xml:space="preserve">c</w:t>
      </w:r>
      <w:r>
        <w:t xml:space="preserve"> of its cap and availability to 0.3 + 0.7ϑ</w:t>
      </w:r>
      <w:r>
        <w:rPr>
          <w:vertAlign w:val="subscript"/>
        </w:rPr>
        <w:t xml:space="preserve">c</w:t>
      </w:r>
      <w:r>
        <w:t xml:space="preserve">. Clear sets the cut field and raises capacity to at least 0.8 of its cap. Ignite raises the ignition command to ϑ</w:t>
      </w:r>
      <w:r>
        <w:rPr>
          <w:vertAlign w:val="subscript"/>
        </w:rPr>
        <w:t xml:space="preserve">c</w:t>
      </w:r>
      <w:r>
        <w:t xml:space="preserve">; above 0.5, the core ignites a nonburning cell if fuel remains and moisture is below extinction, then advances its spread normally. Evacuate raises the evacuation field to ϑ</w:t>
      </w:r>
      <w:r>
        <w:rPr>
          <w:vertAlign w:val="subscript"/>
        </w:rPr>
        <w:t xml:space="preserve">c</w:t>
      </w:r>
      <w:r>
        <w:t xml:space="preserve">, and prime raises the warning field to ϑ</w:t>
      </w:r>
      <w:r>
        <w:rPr>
          <w:vertAlign w:val="subscript"/>
        </w:rPr>
        <w:t xml:space="preserve">c</w:t>
      </w:r>
      <w:r>
        <w:t xml:space="preserve">. These fixed physical effects support new compositions of interventions.</w:t>
      </w:r>
    </w:p>
    <w:p w14:paraId="77DA5E18" w14:textId="20451B71"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 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shadow futures that differ in their ember draws, require a strict gain; the two futures are close (Section V-A), so G6 guards against a candidate fitted to one ember path and not against state or model uncertainty.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E</m:t>
            </m:r>
          </m:sub>
        </m:sSub>
      </m:oMath>
      <w:r w:rsidR="00517F54">
        <w:t xml:space="preserve"> the rule carrying object </w:t>
      </w:r>
      <m:oMath>
        <m:r>
          <w:rPr>
            <w:rFonts w:ascii="Cambria Math" w:hAnsi="Cambria Math"/>
          </w:rPr>
          <m:t>E</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E</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 xml:space="preserve">a</w:t>
            </w:r>
            <w:r>
              <w:t>)</w:t>
            </w:r>
          </w:p>
        </w:tc>
      </w:tr>
      <w:tr w:rsidR="00F30F81" w14:paraId="209C4C85" w14:textId="77777777">
        <w:trPr>
          <w:cantSplit/>
          <w:jc w:val="center"/>
        </w:trPr>
        <w:tc>
          <w:tcPr>
            <w:tcW w:w="4500" w:type="pct"/>
            <w:vAlign w:val="center"/>
          </w:tcPr>
          <w:p>
            <w:pPr>
              <w:keepNext/>
              <w:jc w:val="center"/>
            </w:pPr>
            <m:oMathPara>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(19b)</w:t>
            </w:r>
          </w:p>
        </w:tc>
      </w:tr>
      <w:tr w:rsidR="00F30F81" w14:paraId="209C4C85" w14:textId="77777777">
        <w:trPr>
          <w:cantSplit/>
          <w:jc w:val="center"/>
        </w:trPr>
        <w:tc>
          <w:tcPr>
            <w:tcW w:w="4500" w:type="pct"/>
            <w:vAlign w:val="center"/>
          </w:tcPr>
          <w:p>
            <w:pPr>
              <w:keepNext/>
              <w:jc w:val="center"/>
            </w:pPr>
            <m:oMathPara>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E</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(19c)</w:t>
            </w:r>
          </w:p>
        </w:tc>
      </w:tr>
      <w:tr w:rsidR="00F30F81" w14:paraId="209C4C85" w14:textId="77777777">
        <w:trPr>
          <w:cantSplit/>
          <w:jc w:val="center"/>
        </w:trPr>
        <w:tc>
          <w:tcPr>
            <w:tcW w:w="4500" w:type="pct"/>
            <w:vAlign w:val="center"/>
          </w:tcPr>
          <w:p>
            <w:pPr>
              <w:keepNext/>
              <w:jc w:val="center"/>
            </w:pPr>
            <m:oMathPara>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(19d)</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t xml:space="preserve">Algorithm S1 in the Supplementary Material</w:t>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Γ</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 xml:space="preserve">a</w:t>
            </w:r>
            <w:r>
              <w:t>)</w:t>
            </w:r>
          </w:p>
        </w:tc>
      </w:tr>
      <w:tr w:rsidR="0043376C" w14:paraId="56A640FF" w14:textId="77777777" w:rsidTr="00FE5410">
        <w:trPr>
          <w:cantSplit/>
          <w:jc w:val="center"/>
        </w:trPr>
        <w:tc>
          <w:tcPr>
            <w:tcW w:w="4500" w:type="pct"/>
            <w:vAlign w:val="center"/>
          </w:tcPr>
          <w:p>
            <w:pPr>
              <w:keepNext/>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(21b)</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(21c)</w:t>
            </w:r>
          </w:p>
        </w:tc>
      </w:tr>
    </w:tbl>
    <w:p w14:paraId="43185AAB" w14:textId="77777777" w:rsidR="0043376C" w:rsidRPr="001D185A" w:rsidRDefault="0043376C" w:rsidP="007B7A52">
      <w:pPr>
        <w:pStyle w:val="Text"/>
        <w:rPr>
          <w:sz w:val="14"/>
          <w:szCs w:val="14"/>
        </w:rPr>
      </w:pPr>
    </w:p>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t xml:space="preserve">Table S8 in the Supplementary Material</w:t>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S7 removes. In S5 the confidence of every reading, selected for corruption or not, is multiplied by 0.8, so the closed layer knows the outage rate but not which readings are corrupted.</w:t>
      </w:r>
    </w:p>
    <w:p w14:paraId="09B60A2D" w14:textId="1917FC1F" w:rsidR="003E3FD9" w:rsidRDefault="00284E68" w:rsidP="00C83E79">
      <w:pPr>
        <w:pStyle w:val="TableTitle"/>
        <w:keepNext/>
        <w:spacing w:before="120"/>
      </w:pPr>
      <w:bookmarkStart w:id="51" w:name="_RefTab_scen"/>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w:t>
      </w:r>
      <w:r w:rsidR="00D31F60">
        <w:rPr>
          <w:noProof/>
        </w:rPr>
        <w:fldChar w:fldCharType="end"/>
      </w:r>
      <w:bookmarkEnd w:id="51"/>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Hosted language models change across versions, so the model name is recorded and the repeat run reports the run-to-run change. </w:t>
      </w:r>
      <w:r>
        <w:t xml:space="preserve">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S8 in the Supplementary Material lists the controls; each keeps the worlds and gates of GODA and changes one thing.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Each setting has its own paired Closed reference. The six hand-written tactics of Table III,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chooses the band and amount of each tactic among six variants by the one-future forecast, six forecasts per tactic, the first time the tactic fires.</w:t>
      </w:r>
      <w:r>
        <w:fldChar w:fldCharType="begin"/>
      </w:r>
      <w:r>
        <w:instrText xml:space="preserve"> REF _RefTab_expert \h </w:instrText>
      </w:r>
      <w:r>
        <w:fldChar w:fldCharType="separate"/>
      </w:r>
      <w:r>
        <w:t xml:space="preserve"/>
      </w:r>
      <w:r>
        <w:fldChar w:fldCharType="end"/>
      </w:r>
      <w:r>
        <w:t xml:space="preserve"/>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57 aggregate comparisons, the main comparison and every row of Tables VI, VII and S7,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 VII and S7 carry unadjusted 95% intervals; the last column of each gives the Holm-adjusted p, under which 52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w:t>
      </w:r>
      <w:sdt>
        <w:sdtPr>
          <w:id w:val="1452809620"/>
          <w:citation/>
        </w:sdtPr>
        <w:sdtEndPr/>
        <w:sdtContent>
          <w:r>
            <w:fldChar w:fldCharType="begin"/>
          </w:r>
          <w:r>
            <w:instrText xml:space="preserve"> CITATION Pais212 \l 1033 </w:instrText>
          </w:r>
          <w:r>
            <w:fldChar w:fldCharType="separate"/>
          </w:r>
          <w:r w:rsidR="005401C1">
            <w:rPr>
              <w:noProof/>
            </w:rPr>
            <w:t xml:space="preserve">[19]</w:t>
          </w:r>
          <w:r>
            <w:fldChar w:fldCharType="end"/>
          </w:r>
        </w:sdtContent>
      </w:sdt>
      <w:r>
        <w:t xml:space="preserve">.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 carries that row beside the nominal one. The lower block of Table V gives, each against its own Closed reference, the evolutionary search over the closed vocabulary (42.9 ha, the reference for what the composed grammar adds), coating held to the reach and charge of the ground effects (36.0 ha), the replay without the ignite-bearing objects (34.3 ha) and the larger domain (134 ha against 309). Response cost also falls by 46%, so resource expansion does not explain the gain. Four changed cost functions, replayed and in one case rerun live, leave the area result unchanged and narrow the total-cost margin at most from 48% to 31% (Supplementary Material).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59"/>
    </w:p>
    <w:p w14:paraId="21638B9C" w14:textId="77777777" w:rsidR="00CB2143" w:rsidRDefault="00CB2143" w:rsidP="00CB2143">
      <w:pPr>
        <w:pStyle w:val="TableTitle"/>
        <w:keepNext/>
        <w:spacing w:after="60"/>
      </w:pPr>
      <w:r>
        <w:t xml:space="preserve">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i/>
              </w:rPr>
              <w:t xml:space="preserve">Other configurations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i/>
              </w:rPr>
              <w:t xml:space="preserve">Own Closed reference</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i/>
              </w:rPr>
              <w:t xml:space="preserve">Configuration named</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Evolutionary search, families only</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42.9 ± 9.6</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Coating reach-limited and charged</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77.8 ± 12.3</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36.0 ± 8.6</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Ignite objects withheld, replay</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34.3 ± 8.7</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3.6 × 2.7 km domain, 30 worlds</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309 ± 104</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134 ± 85</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 xml:space="preserve">Table VI groups the source, search and gate comparisons; Table S7 in the Supplementary Material holds the model-error and operating-limit rows.</w:t>
      </w:r>
      <w:r>
        <w:fldChar w:fldCharType="end"/>
      </w:r>
      <w:r>
        <w:t xml:space="preserve">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An evolutionary search restricted to the same six families, the receding-horizon optimization baseline over the closed vocabulary, reaches 43 ± 11% with 82% of incidents extinguished, within 4 ± 11% of the random closed-vocabulary search; paired directly, GODA lowers area by a further 32 ± 16% and total cost by 25 ± 10% against it, better in 99 worlds and worse in 38 (p &lt; 0.0001, below the family-wise threshold), so a stronger optimizer over the closed vocabulary does not close the gap, and the composed grammar, not the lookahead alone, carries the difference. Random seeds with the variation operator reach 34 ± 9%, below fresh sampling, so variations need good seeds. Seeding the same search with the hand-written tactics of Table III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as does the margin over the evolutionary search restricted to the six families,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since the two standard futures are close, independent futures are the setting recommended for deployment; the main campaign keeps the standard futures so that its rows remain comparable.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an admitted object must stay in force through the incident; the withdrawal ends its order and its reuse together, and this test does not separate the two.</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4C499829" w14:textId="77777777" w:rsidR="00CB2143" w:rsidRDefault="00CB2143" w:rsidP="00CB2143">
      <w:pPr>
        <w:pStyle w:val="TableTitle"/>
        <w:keepNext/>
        <w:spacing w:after="60"/>
      </w:pPr>
      <w:r>
        <w:t xml:space="preserve">Search and gate comparisons (unadjusted 95% half-widths; p Holm-adjusted over the family of 57)</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 xml:space="preserve">Evolutionary search, families only</w:t>
            </w:r>
          </w:p>
        </w:tc>
        <w:tc>
          <w:tcPr>
            <w:tcW w:w="1100" w:type="dxa"/>
          </w:tcPr>
          <w:p w14:paraId="0F493BA2" w14:textId="77777777" w:rsidR="00CB2143" w:rsidRDefault="00CB2143" w:rsidP="00074B69">
            <w:pPr>
              <w:keepNext/>
              <w:spacing w:line="220" w:lineRule="auto"/>
              <w:jc w:val="center"/>
            </w:pPr>
            <w:r>
              <w:rPr>
                <w:sz w:val="18"/>
              </w:rPr>
              <w:t xml:space="preserve">−43 ± 11</w:t>
            </w:r>
          </w:p>
        </w:tc>
        <w:tc>
          <w:tcPr>
            <w:tcW w:w="1100" w:type="dxa"/>
          </w:tcPr>
          <w:p w14:paraId="07817279" w14:textId="77777777" w:rsidR="00CB2143" w:rsidRDefault="00CB2143" w:rsidP="00074B69">
            <w:pPr>
              <w:keepNext/>
              <w:spacing w:line="220" w:lineRule="auto"/>
              <w:jc w:val="center"/>
            </w:pPr>
            <w:r>
              <w:rPr>
                <w:sz w:val="18"/>
              </w:rPr>
              <w:t xml:space="preserve">−31 ± 7</w:t>
            </w:r>
          </w:p>
        </w:tc>
        <w:tc>
          <w:tcPr>
            <w:tcW w:w="1053" w:type="dxa"/>
          </w:tcPr>
          <w:p w14:paraId="0C113D6A" w14:textId="77777777" w:rsidR="00CB2143" w:rsidRDefault="00CB2143" w:rsidP="00074B69">
            <w:pPr>
              <w:keepNext/>
              <w:spacing w:line="220" w:lineRule="auto"/>
              <w:jc w:val="center"/>
            </w:pPr>
            <w:r>
              <w:rPr>
                <w:sz w:val="18"/>
              </w:rPr>
              <w:t xml:space="preserve">&lt;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 12 × 3</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6 × 5</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18 × 1</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0.82</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Table S7 in the Supplementary Material lists the model-error and operating-limit rows. 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w:t>
      </w:r>
      <w:sdt>
        <w:sdtPr>
          <w:id w:val="1561982677"/>
          <w:citation/>
        </w:sdtPr>
        <w:sdtEndPr/>
        <w:sdtContent>
          <w:r>
            <w:fldChar w:fldCharType="begin"/>
          </w:r>
          <w:r>
            <w:instrText xml:space="preserve"> CITATION Plucinski19 \l 1033 </w:instrText>
          </w:r>
          <w:r>
            <w:fldChar w:fldCharType="separate"/>
          </w:r>
          <w:r w:rsidR="005401C1">
            <w:rPr>
              <w:noProof/>
            </w:rPr>
            <w:t xml:space="preserve">[41]</w:t>
          </w:r>
          <w:r>
            <w:fldChar w:fldCharType="end"/>
          </w:r>
        </w:sdtContent>
      </w:sdt>
      <w:r>
        <w:t xml:space="preserve">,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S7,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III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6 ± 7%, within 3 ± 6% of the tactics as written; in 74% of the choices no variant changes the 45 min forecast and the tactic stays as written, so the forecast has nothing to tune in a hand-written tactic.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57)</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−6 ± 7</w:t>
            </w:r>
          </w:p>
        </w:tc>
        <w:tc>
          <w:tcPr>
            <w:tcW w:w="780" w:type="dxa"/>
            <w:vAlign w:val="center"/>
          </w:tcPr>
          <w:p w14:paraId="79EBE2CB" w14:textId="77777777" w:rsidR="00284E68" w:rsidRDefault="00284E68" w:rsidP="00652ECC">
            <w:pPr>
              <w:keepNext/>
              <w:spacing w:line="220" w:lineRule="auto"/>
              <w:jc w:val="center"/>
            </w:pPr>
            <w:r>
              <w:rPr>
                <w:sz w:val="18"/>
              </w:rPr>
              <w:t xml:space="preserve">−2 ± 6</w:t>
            </w:r>
          </w:p>
        </w:tc>
        <w:tc>
          <w:tcPr>
            <w:tcW w:w="800" w:type="dxa"/>
            <w:vAlign w:val="center"/>
          </w:tcPr>
          <w:p w14:paraId="696872FD" w14:textId="77777777" w:rsidR="00284E68" w:rsidRDefault="00284E68" w:rsidP="00652ECC">
            <w:pPr>
              <w:keepNext/>
              <w:spacing w:line="220" w:lineRule="auto"/>
              <w:jc w:val="center"/>
            </w:pPr>
            <w:r>
              <w:rPr>
                <w:sz w:val="18"/>
              </w:rPr>
              <w:t xml:space="preserve">0.36</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 xml:space="preserve">0.0010</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Pr>
          <w:sz w:val="18"/>
        </w:rPr>
        <w:t xml:space="preserve">Fig. S1 in the Supplementary Material</w:t>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and an evolutionary search over that vocabulary 70%; the latter, the strongest closed-vocabulary optimizer tested, and not the reactive closed layer, is the reference for what the composed grammar adds, a margin of 32 ± 16% that survives the correction. A random proposer over the composed grammar recovers three quarters, and the model candidates with their variations the rest, with the largest share in the hardest family; of the margins among the gated searches, only those over the two closed-vocabulary searches survive the family-wise correction, and the share of the model candidates appears at the full budget only. The gain therefore rests on the gated search over the effect grammar more than on the proposer. Three further results bound it: the verification gates G6 to G8 add little to the mean gain and bound the harmful admissions; admitted objects must stay in force through the incident, since withdrawing each after one cycle, which ends its order and its reuse together,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hazard model, the decision core and the doctrine record are evaluated, the regional agents for cost and scaling only, and the operator interface, distributed operation and data assimilation are design. The language model is a hosted service with closed weights, undisclosed sampling and version drift, and its computation is not counted in the equal-budget comparison; since its margin over the random proposer is not established after correction, the configuration with the random proposer, which needs no model call, is the recommended default where a model is unavailable or its cost is not justified, and the model is an optional candidate source.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S7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S7 rather than calibrated on observed operations; and the hand-written tactics of Table III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w:t>
      </w:r>
      <w:sdt>
        <w:sdtPr>
          <w:id w:val="1496016853"/>
          <w:citation/>
        </w:sdtPr>
        <w:sdtEndPr/>
        <w:sdtContent>
          <w:r>
            <w:fldChar w:fldCharType="begin"/>
          </w:r>
          <w:r>
            <w:instrText xml:space="preserve"> CITATION Akman26 \l 1033 </w:instrText>
          </w:r>
          <w:r>
            <w:fldChar w:fldCharType="separate"/>
          </w:r>
          <w:r w:rsidR="005401C1">
            <w:rPr>
              <w:noProof/>
            </w:rPr>
            <w:t xml:space="preserve">[46]</w:t>
          </w:r>
          <w:r>
            <w:fldChar w:fldCharType="end"/>
          </w:r>
        </w:sdtContent>
      </w:sdt>
      <w:r>
        <w:t xml:space="preserve">.</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[2]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[3]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[4]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[5]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[6]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[7]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[8]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[9]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[10]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[11]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[12]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[13]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[14]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[15]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[16]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[17]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[18]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[19]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[20]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[21]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[22]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[23]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[24]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[25]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[26]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[27]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[28]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[29]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[30]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[31]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[32]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[33]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[34]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[35]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[36]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[37]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[38]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[39]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[40]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[41]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[42]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[43]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[44]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[45]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[46]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