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rule set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larger domain. Equal-budget controls locate the gain: a search over the closed vocabulary and a random proposer recover much of it,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 It is a receding-horizon, simulation-based optimization over a discrete grammar, run once per decision cycle; it differs from model predictive control in optimizing over composed objects that persist as rules rather than over a continuous input trajectory.</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ψ</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 xml:space="preserve">a</w:t>
            </w:r>
            <w:r>
              <w:t>)</w:t>
            </w:r>
          </w:p>
        </w:tc>
      </w:tr>
      <w:tr w:rsidR="003949BC" w14:paraId="3AE8D89B" w14:textId="77777777" w:rsidTr="00025AE1">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(13b)</w:t>
            </w:r>
          </w:p>
        </w:tc>
      </w:tr>
      <w:tr w:rsidR="003949BC" w14:paraId="3AE8D89B" w14:textId="77777777" w:rsidTr="00025AE1">
        <w:trPr>
          <w:cantSplit/>
          <w:jc w:val="center"/>
        </w:trPr>
        <w:tc>
          <w:tcPr>
            <w:tcW w:w="4500" w:type="pct"/>
            <w:vAlign w:val="center"/>
          </w:tcPr>
          <w:p>
            <w:pPr>
              <w:keepNext/>
              <w:jc w:val="center"/>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min</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(13c)</w:t>
            </w:r>
          </w:p>
        </w:tc>
      </w:tr>
      <w:tr w:rsidR="003949BC" w14:paraId="3AE8D89B" w14:textId="77777777" w:rsidTr="00025AE1">
        <w:trPr>
          <w:cantSplit/>
          <w:jc w:val="center"/>
        </w:trPr>
        <w:tc>
          <w:tcPr>
            <w:tcW w:w="4500" w:type="pct"/>
            <w:vAlign w:val="center"/>
          </w:tcPr>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(13d)</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 xml:space="preserve">a</w:t>
            </w:r>
            <w:r>
              <w:t>)</w:t>
            </w:r>
          </w:p>
        </w:tc>
      </w:tr>
      <w:tr w:rsidR="004F7DCA" w14:paraId="3618BEF6" w14:textId="77777777" w:rsidTr="002B2CE5">
        <w:trPr>
          <w:cantSplit/>
          <w:jc w:val="center"/>
        </w:trPr>
        <w:tc>
          <w:tcPr>
            <w:tcW w:w="4500" w:type="pct"/>
            <w:vAlign w:val="center"/>
          </w:tcPr>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(15b)</w:t>
            </w:r>
          </w:p>
        </w:tc>
      </w:tr>
      <w:tr w:rsidR="004F7DCA" w14:paraId="3618BEF6" w14:textId="77777777" w:rsidTr="002B2CE5">
        <w:trPr>
          <w:cantSplit/>
          <w:jc w:val="center"/>
        </w:trPr>
        <w:tc>
          <w:tcPr>
            <w:tcW w:w="4500" w:type="pct"/>
            <w:vAlign w:val="center"/>
          </w:tcPr>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(15c)</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 xml:space="preserve">a</w:t>
            </w:r>
            <w:r>
              <w:t>)</w:t>
            </w:r>
          </w:p>
        </w:tc>
      </w:tr>
      <w:tr w:rsidR="00FB6C00" w14:paraId="551C60C7" w14:textId="77777777" w:rsidTr="00CA6688">
        <w:trPr>
          <w:cantSplit/>
          <w:jc w:val="center"/>
        </w:trPr>
        <w:tc>
          <w:tcPr>
            <w:tcW w:w="4500" w:type="pct"/>
            <w:vAlign w:val="center"/>
          </w:tcPr>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(16b)</w:t>
            </w:r>
          </w:p>
        </w:tc>
      </w:tr>
      <w:tr w:rsidR="00FB6C00" w14:paraId="551C60C7" w14:textId="77777777" w:rsidTr="00CA6688">
        <w:trPr>
          <w:cantSplit/>
          <w:jc w:val="center"/>
        </w:trPr>
        <w:tc>
          <w:tcPr>
            <w:tcW w:w="4500" w:type="pct"/>
            <w:vAlign w:val="center"/>
          </w:tcPr>
          <w:p>
            <w:pPr>
              <w:keepNext/>
              <w:jc w:val="center"/>
            </w:pPr>
            <m:oMathPara>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(16c)</w:t>
            </w:r>
          </w:p>
        </w:tc>
      </w:tr>
      <w:tr w:rsidR="00FB6C00" w14:paraId="551C60C7" w14:textId="77777777" w:rsidTr="00CA6688">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(16d)</w:t>
            </w:r>
          </w:p>
        </w:tc>
      </w:tr>
      <w:tr w:rsidR="00FB6C00" w14:paraId="551C60C7" w14:textId="77777777" w:rsidTr="00CA6688">
        <w:trPr>
          <w:cantSplit/>
          <w:jc w:val="center"/>
        </w:trPr>
        <w:tc>
          <w:tcPr>
            <w:tcW w:w="4500" w:type="pct"/>
            <w:vAlign w:val="center"/>
          </w:tcPr>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(16e)</w:t>
            </w:r>
          </w:p>
        </w:tc>
      </w:tr>
      <w:tr w:rsidR="00FB6C00" w14:paraId="551C60C7" w14:textId="77777777" w:rsidTr="00CA6688">
        <w:trPr>
          <w:cantSplit/>
          <w:jc w:val="center"/>
        </w:trPr>
        <w:tc>
          <w:tcPr>
            <w:tcW w:w="4500" w:type="pct"/>
            <w:vAlign w:val="center"/>
          </w:tcPr>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(16f)</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are the left corners of term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E</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 xml:space="preserve">a</w:t>
            </w:r>
            <w:r>
              <w:t>)</w:t>
            </w:r>
          </w:p>
        </w:tc>
      </w:tr>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ϑ</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(18b)</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(18c)</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(18d)</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ϑ</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E</m:t>
            </m:r>
          </m:sub>
        </m:sSub>
      </m:oMath>
      <w:r w:rsidR="00517F54">
        <w:t xml:space="preserve"> the rule carrying object </w:t>
      </w:r>
      <m:oMath>
        <m:r>
          <w:rPr>
            <w:rFonts w:ascii="Cambria Math" w:hAnsi="Cambria Math"/>
          </w:rPr>
          <m:t>E</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E</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 xml:space="preserve">a</w:t>
            </w:r>
            <w:r>
              <w:t>)</w:t>
            </w:r>
          </w:p>
        </w:tc>
      </w:tr>
      <w:tr w:rsidR="00F30F81" w14:paraId="209C4C85" w14:textId="77777777">
        <w:trPr>
          <w:cantSplit/>
          <w:jc w:val="center"/>
        </w:trPr>
        <w:tc>
          <w:tcPr>
            <w:tcW w:w="4500" w:type="pct"/>
            <w:vAlign w:val="center"/>
          </w:tcPr>
          <w:p>
            <w:pPr>
              <w:keepNext/>
              <w:jc w:val="center"/>
            </w:pPr>
            <m:oMathPara>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(19b)</w:t>
            </w:r>
          </w:p>
        </w:tc>
      </w:tr>
      <w:tr w:rsidR="00F30F81" w14:paraId="209C4C85" w14:textId="77777777">
        <w:trPr>
          <w:cantSplit/>
          <w:jc w:val="center"/>
        </w:trPr>
        <w:tc>
          <w:tcPr>
            <w:tcW w:w="4500" w:type="pct"/>
            <w:vAlign w:val="center"/>
          </w:tcPr>
          <w:p>
            <w:pPr>
              <w:keepNext/>
              <w:jc w:val="center"/>
            </w:pPr>
            <m:oMathPara>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(19c)</w:t>
            </w:r>
          </w:p>
        </w:tc>
      </w:tr>
      <w:tr w:rsidR="00F30F81" w14:paraId="209C4C85" w14:textId="77777777">
        <w:trPr>
          <w:cantSplit/>
          <w:jc w:val="center"/>
        </w:trPr>
        <w:tc>
          <w:tcPr>
            <w:tcW w:w="4500" w:type="pct"/>
            <w:vAlign w:val="center"/>
          </w:tcPr>
          <w:p>
            <w:pPr>
              <w:keepNext/>
              <w:jc w:val="center"/>
            </w:pPr>
            <m:oMathPara>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(19d)</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Γ</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 xml:space="preserve">a</w:t>
            </w:r>
            <w:r>
              <w:t>)</w:t>
            </w:r>
          </w:p>
        </w:tc>
      </w:tr>
      <w:tr w:rsidR="0043376C" w14:paraId="56A640FF" w14:textId="77777777" w:rsidTr="00FE5410">
        <w:trPr>
          <w:cantSplit/>
          <w:jc w:val="center"/>
        </w:trPr>
        <w:tc>
          <w:tcPr>
            <w:tcW w:w="4500" w:type="pct"/>
            <w:vAlign w:val="center"/>
          </w:tcPr>
          <w:p>
            <w:pPr>
              <w:keepNext/>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(21b)</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(21c)</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t xml:space="preserve">Table S8 in the Supplementary Material</w:t>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09B60A2D" w14:textId="1917FC1F" w:rsidR="003E3FD9" w:rsidRDefault="00284E68" w:rsidP="00C83E79">
      <w:pPr>
        <w:pStyle w:val="TableTitle"/>
        <w:keepNext/>
        <w:spacing w:before="120"/>
      </w:pPr>
      <w:bookmarkStart w:id="51" w:name="_RefTab_scen"/>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w:t>
      </w:r>
      <w:r w:rsidR="00D31F60">
        <w:rPr>
          <w:noProof/>
        </w:rPr>
        <w:fldChar w:fldCharType="end"/>
      </w:r>
      <w:bookmarkEnd w:id="51"/>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[60], so the model name is recorded and the repeat run reports the run-to-run change. </w:t>
      </w:r>
      <w:sdt>
        <w:sdtPr>
          <w:id w:val="-314533478"/>
          <w:citation/>
        </w:sdtPr>
        <w:sdtEndPr/>
        <w:sdtContent>
          <w:r>
            <w:fldChar w:fldCharType="begin"/>
          </w:r>
          <w:r>
            <w:instrText xml:space="preserve"> CITATION Chen24 \l 1033 </w:instrText>
          </w:r>
          <w:r>
            <w:fldChar w:fldCharType="separate"/>
          </w:r>
          <w:r>
            <w:rPr>
              <w:noProof/>
            </w:rPr>
            <w:t xml:space="preserve"/>
          </w:r>
          <w:r>
            <w:fldChar w:fldCharType="end"/>
          </w:r>
        </w:sdtContent>
      </w:sdt>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S8 in the Supplementary Material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III,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56 aggregate comparisons, the main comparison and every row of Tables VI, VII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 VII and S7 carry unadjusted 95% intervals; the last column of each gives the Holm-adjusted p, under which 51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 carries that row beside the nominal one. Table V also gives, each against its own Closed reference, the forecast-matched search over the closed vocabulary (44.5 ha, the reference for what the composed grammar adds), coating held to the reach and charge of the ground effects (36.0 ha), the replay without the ignite-bearing objects (34.3 ha) and the larger domain (134 ha against 309).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59"/>
    </w:p>
    <w:p w14:paraId="21638B9C" w14:textId="77777777" w:rsidR="00CB2143" w:rsidRDefault="00CB2143" w:rsidP="00CB2143">
      <w:pPr>
        <w:pStyle w:val="TableTitle"/>
        <w:keepNext/>
        <w:spacing w:after="60"/>
      </w:pPr>
      <w:r>
        <w:t xml:space="preserve">Main outcomes and scenario comparisons (rows naming a setting give that configuration against its own Closed reference)</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closed-vocabulary search at equal budget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44.5 ± 10.1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coating reach-limited and charged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77.8 ± 12.3</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36.0 ± 8.6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ignite objects withheld, replay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34.3 ± 8.7</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3.6 × 2.7 km domain, 30 worlds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309 ± 104</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134 ± 85</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III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since the two standard futures are close, independent futures are the recommended setting for the gates.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56)</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0.90</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III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4 ± 7%, no better than the tactics as written (p = 0.30 unadjusted); in 71% of the choices no variant changes the 45 min forecast, so the variants tie and the forecast has nothing to tune, and a tuned tactic enters one cycle after the written one.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56)</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−4 ± 7</w:t>
            </w:r>
          </w:p>
        </w:tc>
        <w:tc>
          <w:tcPr>
            <w:tcW w:w="780" w:type="dxa"/>
            <w:vAlign w:val="center"/>
          </w:tcPr>
          <w:p w14:paraId="79EBE2CB" w14:textId="77777777" w:rsidR="00284E68" w:rsidRDefault="00284E68" w:rsidP="00652ECC">
            <w:pPr>
              <w:keepNext/>
              <w:spacing w:line="220" w:lineRule="auto"/>
              <w:jc w:val="center"/>
            </w:pPr>
            <w:r>
              <w:rPr>
                <w:sz w:val="18"/>
              </w:rPr>
              <w:t xml:space="preserve">−1 ± 5</w:t>
            </w:r>
          </w:p>
        </w:tc>
        <w:tc>
          <w:tcPr>
            <w:tcW w:w="800" w:type="dxa"/>
            <w:vAlign w:val="center"/>
          </w:tcPr>
          <w:p w14:paraId="696872FD" w14:textId="77777777" w:rsidR="00284E68" w:rsidRDefault="00284E68" w:rsidP="00652ECC">
            <w:pPr>
              <w:keepNext/>
              <w:spacing w:line="220" w:lineRule="auto"/>
              <w:jc w:val="center"/>
            </w:pPr>
            <w:r>
              <w:rPr>
                <w:sz w:val="18"/>
              </w:rPr>
              <w:t xml:space="preserve">0.90</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0.90</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0.0009</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which makes that search, not the reactive closed layer, the reference for what the composed grammar adds, a margin of 35 ± 17% that survives the correction; a random proposer over the composed grammar recovers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hazard model, the decision core and the doctrine record are evaluated, the regional agents for cost and scaling only, and the operator interface, distributed operation and data assimilation are design. The language model is a hosted service with closed weights, undisclosed sampling and version drift, and its computation is not counted in the equal-budget comparison; since its margin over the random proposer is not established after correction, the configuration with the random proposer, which needs no model call, is the recommended default where a model is unavailable or its cost is not justified, and the model is an optional candidate source.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III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