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and a chain of gates on shadow forecasts ranks the candidates and admits at most one object per call. In simulation on 150 paired incidents, GODA lowers burned area by 61% against the closed layer and by 24% against an equal-budget evolutionary search over the same grammar, raises the share of extinguished incidents from 52% to 91%, and lowers priced response by 46% and affected population, the initial residents of burned cells, by 80%. The gated search carries most of the gain: behind the same gates, a search over the closed vocabulary reaches two thirds of it and a random proposer over the composed grammar three quarters, whereas a hand-written doctrine over the same effects gains little; with independent gate futures the advantage over the closed layer is 54%.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as do simulation-based optimization and learning for suppression planning, which search offline (Section VI).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w:t>
      </w:r>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w:t>
      </w:r>
      <w:r w:rsidR="00AF4482">
        <w:t xml:space="preserve">, </w:t>
      </w:r>
      <w:r w:rsidR="00AF4482">
        <w:lastRenderedPageBreak/>
        <w:t>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 shows the gate chain of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p>
    <w:p w14:paraId="0E8F8563" w14:textId="2A12F92B" w:rsidR="00720E67" w:rsidRDefault="006D7408">
      <w:pPr>
        <w:pStyle w:val="Text"/>
      </w:pPr>
      <w:r>
        <w:t xml:space="preserve">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fldChar w:fldCharType="begin"/>
      </w:r>
      <w:r>
        <w:instrText xml:space="preserve"> REF _RefEqN_resolve \h \* CHARFORMAT </w:instrText>
      </w:r>
      <w:r>
        <w:fldChar w:fldCharType="separate"/>
      </w:r>
      <w:r w:rsidR="001C6998">
        <w:t>18</w:t>
      </w:r>
      <w:r>
        <w:fldChar w:fldCharType="end"/>
      </w:r>
      <w:r>
        <w:t>).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one turn per request and tools disabled. Code, world seeds, configurations and admission logs are available from the authors on request.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[55]</w:t>
          </w:r>
          <w:r>
            <w:fldChar w:fldCharType="end"/>
          </w:r>
        </w:sdtContent>
      </w:sdt>
      <w:r>
        <w:t xml:space="preserve">, so the model name is recorded and the repeat run of Table VII reports the run-to-run change. A request asks for six candidates. The closed layer spends two shadow forecasts per cycle on the acceptance test and none on search, so the random control is the forecast-matched reference of GODA: the margin of GODA over Closed combines the search and the vocabulary, and the margin over the random control measures what the model candidates and their variations add to uniform sampling. Full search allows 36 first-future forecasts and up to three additional finalist evaluations; the candidate-only configuration omits variations, and the small random control sets its search budget to six.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raises fuel moisture and decays by 0.003 per min. The quality threshold η is 0.60, the cost ceiling JTH 0.35, the required gain over inaction δgain 5%, and both package margins in (</w:t>
      </w:r>
      <w:r>
        <w:fldChar w:fldCharType="begin"/>
      </w:r>
      <w:r>
        <w:instrText xml:space="preserve"> REF _RefEqN_gates \h \* CHARFORMAT </w:instrText>
      </w:r>
      <w:r>
        <w:fldChar w:fldCharType="separate"/>
      </w:r>
      <w:r w:rsidR="001C6998">
        <w:t>19</w:t>
      </w:r>
      <w:r>
        <w:fldChar w:fldCharType="end"/>
      </w:r>
      <w:r>
        <w:t xml:space="preserve">) are 10⁻⁴.</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35 aggregate comparisons, namely the main comparison and every row of Tables VII and VIII, using one million random sign assignments. The adjusted p applies to the main comparison; the other rows are reported with unadjusted intervals.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The evolutionary search reaches 49 ± 12%; paired against it, GODA lowers area by a further 24 ± 18% and total cost by 17 ± 11%, better in 81 worlds and worse in 58.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across these settings, which span the range of retardant and line effectiveness reported in [46], the advantage runs from 33% to 61%. Known price, stock and delay limits retain 60%, 53% and 50%, respectively. Under the 20 ha stock, mean coated area is 11.2 ha. With price doubled, response cost is 0.277 versus 0.231 nominally and 0.428 for Closed.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 50% speed error leaves 44 ± 12%, with 73% of incidents extinguished.</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composed interventions admitted in at least 7 of the 75 derivation worlds, a fixed rule applied before the transfer tests; they are line and attack, interface hardening, asset collar,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priced response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[50]</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[51]</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[52]</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w:instrText>
          </w:r>
          <w:r>
            <w:fldChar w:fldCharType="separate"/>
          </w:r>
          <w:r>
            <w:rPr>
              <w:noProof/>
            </w:rPr>
            <w:t>[53]</w:t>
          </w:r>
          <w:r>
            <w:fldChar w:fldCharType="end"/>
          </w:r>
        </w:sdtContent>
      </w:sdt>
      <w:r>
        <w:t xml:space="preserve">, </w:t>
      </w:r>
      <w:sdt>
        <w:sdtPr>
          <w:id w:val="-834926925"/>
          <w:citation/>
        </w:sdtPr>
        <w:sdtEndPr/>
        <w:sdtContent>
          <w:r>
            <w:fldChar w:fldCharType="begin"/>
          </w:r>
          <w:r>
            <w:instrText xml:space="preserve"> CITATION Haight07 \l 1033 </w:instrText>
          </w:r>
          <w:r>
            <w:fldChar w:fldCharType="separate"/>
          </w:r>
          <w:r>
            <w:rPr>
              <w:noProof/>
            </w:rPr>
            <w:t>[54]</w:t>
          </w:r>
          <w:r>
            <w:fldChar w:fldCharType="end"/>
          </w:r>
        </w:sdtContent>
      </w:sdt>
      <w:r>
        <w:t xml:space="preserve"> also search a fixed vocabulary, but offline, whereas the search here runs during the incident on its forecasts.</w:t>
      </w:r>
    </w:p>
    <w:p w14:paraId="26E4C15C" w14:textId="30C50EEF" w:rsidR="00FF0CB1" w:rsidRDefault="00DB0B75">
      <w:pPr>
        <w:pStyle w:val="Text"/>
        <w:spacing w:line="240" w:lineRule="auto"/>
      </w:pPr>
      <w:r>
        <w:t xml:space="preserve">The gain persists under the tested model errors and operating limits, including ineffective coating and faster-than-planned wind. The errors a different spread model would introduce, in the rate and direction of spread and in the effect of suppression and coating, are the quantities the model-error tests perturb, and the gain holds under each of them;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w:t>
      </w:r>
      <w:r w:rsidR="00DB0B75">
        <w:t>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[50]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[51]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[52]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[53]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[54]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[55]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He manages research and development projects on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50</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51</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52</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53</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54</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55</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