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area reduction is 57%.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between model calls in a harness without the model.</w:t>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w:t>
      </w:r>
      <w:r>
        <w:t xml:space="preserve">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w:t>
      </w:r>
      <w:r>
        <w:lastRenderedPageBreak/>
        <w:t xml:space="preserve">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w:t>
      </w:r>
      <w:r w:rsidR="00284E68" w:rsidRPr="00284E68">
        <w:t>The other four families retain their regional orders. Admitted objects support decisions rather than autonomous control, with operators reviewing their rule text, origin, and gate values while retaining authority over field execution.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w:t>
      </w:r>
      <w:r>
        <w:lastRenderedPageBreak/>
        <w:t xml:space="preserve">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074F567F" w14:textId="77777777" w:rsidR="00FF0CB1" w:rsidRDefault="00DB0B75">
      <w:pPr>
        <w:pStyle w:val="Text"/>
        <w:spacing w:line="240" w:lineRule="auto"/>
        <w:rPr>
          <w:noProof/>
        </w:rPr>
      </w:pPr>
      <w:r>
        <w:t>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04E2DAB7" w14:textId="77777777" w:rsidTr="00284E68">
        <w:tc>
          <w:tcPr>
            <w:tcW w:w="449" w:type="dxa"/>
            <w:shd w:val="clear" w:color="auto" w:fill="D9D9D9" w:themeFill="background1" w:themeFillShade="D9"/>
          </w:tcPr>
          <w:p w14:paraId="4EEADBFB" w14:textId="77777777" w:rsidR="00FF0CB1" w:rsidRDefault="00DB0B75">
            <w:pPr>
              <w:keepNext/>
              <w:spacing w:line="220" w:lineRule="auto"/>
            </w:pPr>
            <w:r>
              <w:rPr>
                <w:b/>
                <w:sz w:val="18"/>
              </w:rPr>
              <w:t>Test</w:t>
            </w:r>
          </w:p>
        </w:tc>
        <w:tc>
          <w:tcPr>
            <w:tcW w:w="2215" w:type="dxa"/>
            <w:shd w:val="clear" w:color="auto" w:fill="D9D9D9" w:themeFill="background1" w:themeFillShade="D9"/>
          </w:tcPr>
          <w:p w14:paraId="2306007B" w14:textId="77777777" w:rsidR="00FF0CB1" w:rsidRDefault="00DB0B75">
            <w:pPr>
              <w:keepNext/>
              <w:spacing w:line="220" w:lineRule="auto"/>
              <w:jc w:val="center"/>
            </w:pPr>
            <w:r>
              <w:rPr>
                <w:b/>
                <w:sz w:val="18"/>
              </w:rPr>
              <w:t>Comparison</w:t>
            </w:r>
          </w:p>
        </w:tc>
        <w:tc>
          <w:tcPr>
            <w:tcW w:w="1296" w:type="dxa"/>
            <w:shd w:val="clear" w:color="auto" w:fill="D9D9D9" w:themeFill="background1" w:themeFillShade="D9"/>
          </w:tcPr>
          <w:p w14:paraId="384D2F6C" w14:textId="77777777" w:rsidR="00FF0CB1" w:rsidRDefault="00DB0B75">
            <w:pPr>
              <w:keepNext/>
              <w:spacing w:line="220" w:lineRule="auto"/>
              <w:jc w:val="center"/>
            </w:pPr>
            <w:r>
              <w:rPr>
                <w:b/>
                <w:sz w:val="18"/>
              </w:rPr>
              <w:t>Worlds</w:t>
            </w:r>
          </w:p>
        </w:tc>
        <w:tc>
          <w:tcPr>
            <w:tcW w:w="1080" w:type="dxa"/>
            <w:shd w:val="clear" w:color="auto" w:fill="D9D9D9" w:themeFill="background1" w:themeFillShade="D9"/>
          </w:tcPr>
          <w:p w14:paraId="042119AE" w14:textId="77777777" w:rsidR="00FF0CB1" w:rsidRDefault="00DB0B75">
            <w:pPr>
              <w:keepNext/>
              <w:spacing w:line="220" w:lineRule="auto"/>
              <w:jc w:val="center"/>
            </w:pPr>
            <w:r>
              <w:rPr>
                <w:b/>
                <w:sz w:val="18"/>
              </w:rPr>
              <w:t>Result</w:t>
            </w:r>
          </w:p>
        </w:tc>
      </w:tr>
      <w:tr w:rsidR="00FF0CB1" w14:paraId="51253128" w14:textId="77777777" w:rsidTr="009467D2">
        <w:tc>
          <w:tcPr>
            <w:tcW w:w="449" w:type="dxa"/>
          </w:tcPr>
          <w:p w14:paraId="0DED624B" w14:textId="77777777" w:rsidR="00FF0CB1" w:rsidRDefault="00DB0B75">
            <w:pPr>
              <w:keepNext/>
              <w:spacing w:line="220" w:lineRule="auto"/>
            </w:pPr>
            <w:r>
              <w:rPr>
                <w:sz w:val="18"/>
              </w:rPr>
              <w:t>1</w:t>
            </w:r>
          </w:p>
        </w:tc>
        <w:tc>
          <w:tcPr>
            <w:tcW w:w="2215" w:type="dxa"/>
          </w:tcPr>
          <w:p w14:paraId="66E0997B" w14:textId="77777777" w:rsidR="00FF0CB1" w:rsidRDefault="00DB0B75">
            <w:pPr>
              <w:keepNext/>
              <w:spacing w:line="220" w:lineRule="auto"/>
              <w:jc w:val="center"/>
            </w:pPr>
            <w:r>
              <w:rPr>
                <w:sz w:val="18"/>
              </w:rPr>
              <w:t>4 fires; 90 m hindcast grid</w:t>
            </w:r>
          </w:p>
        </w:tc>
        <w:tc>
          <w:tcPr>
            <w:tcW w:w="1296" w:type="dxa"/>
          </w:tcPr>
          <w:p w14:paraId="516CF367" w14:textId="77777777" w:rsidR="00FF0CB1" w:rsidRDefault="00DB0B75">
            <w:pPr>
              <w:keepNext/>
              <w:spacing w:line="220" w:lineRule="auto"/>
              <w:jc w:val="center"/>
            </w:pPr>
            <w:r>
              <w:rPr>
                <w:sz w:val="18"/>
              </w:rPr>
              <w:t>4 × 50</w:t>
            </w:r>
          </w:p>
        </w:tc>
        <w:tc>
          <w:tcPr>
            <w:tcW w:w="1080" w:type="dxa"/>
          </w:tcPr>
          <w:p w14:paraId="5BC28996" w14:textId="77777777" w:rsidR="00FF0CB1" w:rsidRDefault="00DB0B75">
            <w:pPr>
              <w:keepNext/>
              <w:spacing w:line="220" w:lineRule="auto"/>
              <w:jc w:val="center"/>
            </w:pPr>
            <w:r>
              <w:rPr>
                <w:sz w:val="18"/>
              </w:rPr>
              <w:t>V; Fig. 5</w:t>
            </w:r>
          </w:p>
        </w:tc>
      </w:tr>
      <w:tr w:rsidR="00FF0CB1" w14:paraId="7721B0AF" w14:textId="77777777" w:rsidTr="009467D2">
        <w:tc>
          <w:tcPr>
            <w:tcW w:w="449" w:type="dxa"/>
          </w:tcPr>
          <w:p w14:paraId="1ADBBA6D" w14:textId="77777777" w:rsidR="00FF0CB1" w:rsidRDefault="00DB0B75">
            <w:pPr>
              <w:keepNext/>
              <w:spacing w:line="220" w:lineRule="auto"/>
            </w:pPr>
            <w:r>
              <w:rPr>
                <w:sz w:val="18"/>
              </w:rPr>
              <w:t>2</w:t>
            </w:r>
          </w:p>
        </w:tc>
        <w:tc>
          <w:tcPr>
            <w:tcW w:w="2215" w:type="dxa"/>
          </w:tcPr>
          <w:p w14:paraId="7A8BBAD7" w14:textId="77777777" w:rsidR="00FF0CB1" w:rsidRDefault="00DB0B75">
            <w:pPr>
              <w:keepNext/>
              <w:spacing w:line="220" w:lineRule="auto"/>
              <w:jc w:val="center"/>
            </w:pPr>
            <w:r>
              <w:rPr>
                <w:sz w:val="18"/>
              </w:rPr>
              <w:t>Closed / GODA</w:t>
            </w:r>
          </w:p>
        </w:tc>
        <w:tc>
          <w:tcPr>
            <w:tcW w:w="1296" w:type="dxa"/>
          </w:tcPr>
          <w:p w14:paraId="5D8BC2BD" w14:textId="77777777" w:rsidR="00FF0CB1" w:rsidRDefault="00DB0B75">
            <w:pPr>
              <w:keepNext/>
              <w:spacing w:line="220" w:lineRule="auto"/>
              <w:jc w:val="center"/>
            </w:pPr>
            <w:r>
              <w:rPr>
                <w:sz w:val="18"/>
              </w:rPr>
              <w:t>150 each</w:t>
            </w:r>
          </w:p>
        </w:tc>
        <w:tc>
          <w:tcPr>
            <w:tcW w:w="1080" w:type="dxa"/>
          </w:tcPr>
          <w:p w14:paraId="55BAB795" w14:textId="77777777" w:rsidR="00FF0CB1" w:rsidRDefault="00DB0B75">
            <w:pPr>
              <w:keepNext/>
              <w:spacing w:line="220" w:lineRule="auto"/>
              <w:jc w:val="center"/>
            </w:pPr>
            <w:r>
              <w:rPr>
                <w:sz w:val="18"/>
              </w:rPr>
              <w:t>VI</w:t>
            </w:r>
          </w:p>
        </w:tc>
      </w:tr>
      <w:tr w:rsidR="00FF0CB1" w14:paraId="549CCC8D" w14:textId="77777777" w:rsidTr="009467D2">
        <w:tc>
          <w:tcPr>
            <w:tcW w:w="449" w:type="dxa"/>
          </w:tcPr>
          <w:p w14:paraId="62841671" w14:textId="77777777" w:rsidR="00FF0CB1" w:rsidRDefault="00DB0B75">
            <w:pPr>
              <w:keepNext/>
              <w:spacing w:line="220" w:lineRule="auto"/>
            </w:pPr>
            <w:r>
              <w:rPr>
                <w:sz w:val="18"/>
              </w:rPr>
              <w:t>3</w:t>
            </w:r>
          </w:p>
        </w:tc>
        <w:tc>
          <w:tcPr>
            <w:tcW w:w="2215" w:type="dxa"/>
          </w:tcPr>
          <w:p w14:paraId="005DEA69" w14:textId="77777777" w:rsidR="00FF0CB1" w:rsidRDefault="00DB0B75">
            <w:pPr>
              <w:keepNext/>
              <w:spacing w:line="220" w:lineRule="auto"/>
              <w:jc w:val="center"/>
            </w:pPr>
            <w:r>
              <w:rPr>
                <w:sz w:val="18"/>
              </w:rPr>
              <w:t>Source, search and gate futures</w:t>
            </w:r>
          </w:p>
        </w:tc>
        <w:tc>
          <w:tcPr>
            <w:tcW w:w="1296" w:type="dxa"/>
          </w:tcPr>
          <w:p w14:paraId="2DF66D33" w14:textId="77777777" w:rsidR="00FF0CB1" w:rsidRDefault="00DB0B75">
            <w:pPr>
              <w:keepNext/>
              <w:spacing w:line="220" w:lineRule="auto"/>
              <w:jc w:val="center"/>
            </w:pPr>
            <w:r>
              <w:rPr>
                <w:sz w:val="18"/>
              </w:rPr>
              <w:t>150 each</w:t>
            </w:r>
          </w:p>
        </w:tc>
        <w:tc>
          <w:tcPr>
            <w:tcW w:w="1080" w:type="dxa"/>
          </w:tcPr>
          <w:p w14:paraId="61C81A10" w14:textId="77777777" w:rsidR="00FF0CB1" w:rsidRDefault="00DB0B75">
            <w:pPr>
              <w:keepNext/>
              <w:spacing w:line="220" w:lineRule="auto"/>
              <w:jc w:val="center"/>
            </w:pPr>
            <w:r>
              <w:rPr>
                <w:sz w:val="18"/>
              </w:rPr>
              <w:t>VII</w:t>
            </w:r>
          </w:p>
        </w:tc>
      </w:tr>
      <w:tr w:rsidR="00FF0CB1" w14:paraId="72CCE405" w14:textId="77777777" w:rsidTr="009467D2">
        <w:tc>
          <w:tcPr>
            <w:tcW w:w="449" w:type="dxa"/>
          </w:tcPr>
          <w:p w14:paraId="1E6016EA" w14:textId="77777777" w:rsidR="00FF0CB1" w:rsidRDefault="00DB0B75">
            <w:pPr>
              <w:keepNext/>
              <w:spacing w:line="220" w:lineRule="auto"/>
            </w:pPr>
            <w:r>
              <w:rPr>
                <w:sz w:val="18"/>
              </w:rPr>
              <w:t>4</w:t>
            </w:r>
          </w:p>
        </w:tc>
        <w:tc>
          <w:tcPr>
            <w:tcW w:w="2215" w:type="dxa"/>
          </w:tcPr>
          <w:p w14:paraId="675BD2BE" w14:textId="77777777" w:rsidR="00FF0CB1" w:rsidRDefault="00DB0B75">
            <w:pPr>
              <w:keepNext/>
              <w:spacing w:line="220" w:lineRule="auto"/>
              <w:jc w:val="center"/>
            </w:pPr>
            <w:r>
              <w:rPr>
                <w:sz w:val="18"/>
              </w:rPr>
              <w:t>Model errors and operating limits</w:t>
            </w:r>
          </w:p>
        </w:tc>
        <w:tc>
          <w:tcPr>
            <w:tcW w:w="1296" w:type="dxa"/>
          </w:tcPr>
          <w:p w14:paraId="48B0A4A8" w14:textId="77777777" w:rsidR="00FF0CB1" w:rsidRDefault="00DB0B75">
            <w:pPr>
              <w:keepNext/>
              <w:spacing w:line="220" w:lineRule="auto"/>
              <w:jc w:val="center"/>
            </w:pPr>
            <w:r>
              <w:rPr>
                <w:sz w:val="18"/>
              </w:rPr>
              <w:t>150 each</w:t>
            </w:r>
          </w:p>
        </w:tc>
        <w:tc>
          <w:tcPr>
            <w:tcW w:w="1080" w:type="dxa"/>
          </w:tcPr>
          <w:p w14:paraId="3BA98E82" w14:textId="77777777" w:rsidR="00FF0CB1" w:rsidRDefault="00DB0B75">
            <w:pPr>
              <w:keepNext/>
              <w:spacing w:line="220" w:lineRule="auto"/>
              <w:jc w:val="center"/>
            </w:pPr>
            <w:r>
              <w:rPr>
                <w:sz w:val="18"/>
              </w:rPr>
              <w:t>VII</w:t>
            </w:r>
          </w:p>
        </w:tc>
      </w:tr>
      <w:tr w:rsidR="00FF0CB1" w14:paraId="22B93E48" w14:textId="77777777" w:rsidTr="009467D2">
        <w:tc>
          <w:tcPr>
            <w:tcW w:w="449" w:type="dxa"/>
          </w:tcPr>
          <w:p w14:paraId="39548901" w14:textId="77777777" w:rsidR="00FF0CB1" w:rsidRDefault="00DB0B75">
            <w:pPr>
              <w:keepNext/>
              <w:spacing w:line="220" w:lineRule="auto"/>
            </w:pPr>
            <w:r>
              <w:rPr>
                <w:sz w:val="18"/>
              </w:rPr>
              <w:t>5</w:t>
            </w:r>
          </w:p>
        </w:tc>
        <w:tc>
          <w:tcPr>
            <w:tcW w:w="2215" w:type="dxa"/>
          </w:tcPr>
          <w:p w14:paraId="7B18C87F" w14:textId="77777777" w:rsidR="00FF0CB1" w:rsidRDefault="00DB0B75">
            <w:pPr>
              <w:keepNext/>
              <w:spacing w:line="220" w:lineRule="auto"/>
              <w:jc w:val="center"/>
            </w:pPr>
            <w:r>
              <w:rPr>
                <w:sz w:val="18"/>
              </w:rPr>
              <w:t>Doctrine, transfer and online generation</w:t>
            </w:r>
          </w:p>
        </w:tc>
        <w:tc>
          <w:tcPr>
            <w:tcW w:w="1296" w:type="dxa"/>
          </w:tcPr>
          <w:p w14:paraId="00D0A7E0" w14:textId="77777777" w:rsidR="00FF0CB1" w:rsidRDefault="00DB0B75">
            <w:pPr>
              <w:keepNext/>
              <w:spacing w:line="220" w:lineRule="auto"/>
              <w:jc w:val="center"/>
            </w:pPr>
            <w:r>
              <w:rPr>
                <w:sz w:val="18"/>
              </w:rPr>
              <w:t>150 / 75 / 90</w:t>
            </w:r>
          </w:p>
        </w:tc>
        <w:tc>
          <w:tcPr>
            <w:tcW w:w="1080" w:type="dxa"/>
          </w:tcPr>
          <w:p w14:paraId="5FC4FA0A" w14:textId="77777777" w:rsidR="00FF0CB1" w:rsidRDefault="00DB0B75">
            <w:pPr>
              <w:keepNext/>
              <w:spacing w:line="220" w:lineRule="auto"/>
              <w:jc w:val="center"/>
            </w:pPr>
            <w:r>
              <w:rPr>
                <w:sz w:val="18"/>
              </w:rPr>
              <w:t>VIII; Fig. 6</w:t>
            </w:r>
          </w:p>
        </w:tc>
      </w:tr>
      <w:tr w:rsidR="00FF0CB1" w14:paraId="36586100" w14:textId="77777777" w:rsidTr="009467D2">
        <w:tc>
          <w:tcPr>
            <w:tcW w:w="449" w:type="dxa"/>
          </w:tcPr>
          <w:p w14:paraId="37971DA2" w14:textId="77777777" w:rsidR="00FF0CB1" w:rsidRDefault="00DB0B75">
            <w:pPr>
              <w:spacing w:line="220" w:lineRule="auto"/>
            </w:pPr>
            <w:r>
              <w:rPr>
                <w:sz w:val="18"/>
              </w:rPr>
              <w:t>6</w:t>
            </w:r>
          </w:p>
        </w:tc>
        <w:tc>
          <w:tcPr>
            <w:tcW w:w="2215" w:type="dxa"/>
          </w:tcPr>
          <w:p w14:paraId="3B58A2A6" w14:textId="77777777" w:rsidR="00FF0CB1" w:rsidRDefault="00DB0B75">
            <w:pPr>
              <w:spacing w:line="220" w:lineRule="auto"/>
              <w:jc w:val="center"/>
            </w:pPr>
            <w:r>
              <w:rPr>
                <w:sz w:val="18"/>
              </w:rPr>
              <w:t>Agents and grid size</w:t>
            </w:r>
          </w:p>
        </w:tc>
        <w:tc>
          <w:tcPr>
            <w:tcW w:w="1296" w:type="dxa"/>
          </w:tcPr>
          <w:p w14:paraId="52648921" w14:textId="77777777" w:rsidR="00FF0CB1" w:rsidRDefault="00DB0B75">
            <w:pPr>
              <w:spacing w:line="220" w:lineRule="auto"/>
              <w:jc w:val="center"/>
            </w:pPr>
            <w:r>
              <w:rPr>
                <w:sz w:val="18"/>
              </w:rPr>
              <w:t>5 seeds per setting</w:t>
            </w:r>
          </w:p>
        </w:tc>
        <w:tc>
          <w:tcPr>
            <w:tcW w:w="1080" w:type="dxa"/>
          </w:tcPr>
          <w:p w14:paraId="75ED941F" w14:textId="77777777" w:rsidR="00FF0CB1" w:rsidRDefault="00DB0B75">
            <w:pPr>
              <w:spacing w:line="220" w:lineRule="auto"/>
              <w:jc w:val="center"/>
            </w:pPr>
            <w:r>
              <w:rPr>
                <w:sz w:val="18"/>
              </w:rPr>
              <w:t>Fig. 7</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44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44, under which 41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w:t>
      </w:r>
      <w:r w:rsidR="00284E68" w:rsidRPr="00284E68">
        <w:rPr>
          <w:noProof/>
          <w:szCs w:val="22"/>
        </w:rPr>
        <w:t>5</w:t>
      </w:r>
      <w:r>
        <w:fldChar w:fldCharType="end"/>
      </w:r>
      <w:r>
        <w:t xml:space="preserve"> shows the spatial comparison. The hindcast establishes that the core reproduces the shape of recorded footprints.</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the two sources are level at 12 and 24 forecasts, and the margin of the model candidates opens at the full budget, where the variations of the best candidates have room, while the random curve has saturated. The evolutionary search at the full budget stays 12 points behind GODA, so a larger budget for the random and evolutionary searches would not close the gap, but the margin of GODA does need the full budget.</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w:t>
      </w:r>
      <w:r>
        <w:lastRenderedPageBreak/>
        <w:t>candidates of a call. A repeat stays within four points of the nominal area advantage. With independent gate futures the advantage is 54 ± 12%.</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w:t>
      </w:r>
      <w:r>
        <w:t>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w:t>
      </w:r>
      <w:r>
        <w:lastRenderedPageBreak/>
        <w:t>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Recorded doctrine and continued generation are complementary: transfer supplies a useful initial doctrine, and generation retains value within the incident, on the new conditions and on the control set alike.</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w:t>
      </w:r>
      <w:r w:rsidR="00DB0B75">
        <w:t>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