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ranks the candidates and admits at most one object per call. In simulation on 150 paired incidents, GODA lowers burned area by 61% against the closed layer, raises the share of extinguished incidents from 52% to 91%, and lowers priced response by 46% and affected population, the initial residents of burned cells, by 80%. The gated search carries most of the gain: behind the same gates, a search over the closed vocabulary reaches two thirds of it and a random proposer over the composed grammar three quarters,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Blind hindcast against satellite fire records assesses spatial agreement, while paired comparisons on identical worlds isolate decision benefits, including under planning-model error. 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18</w:t>
      </w:r>
      <w:r>
        <w:fldChar w:fldCharType="end"/>
      </w:r>
      <w:r>
        <w:t>).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with temperature and top-p left unset, one turn per request and tools disabled.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Quality is 0.60, the cost ceiling 0.35, the required gain over inaction 5%, and both package margins in (</w:t>
      </w:r>
      <w:r>
        <w:fldChar w:fldCharType="begin"/>
      </w:r>
      <w:r>
        <w:instrText xml:space="preserve"> REF _RefEqN_gates \h \* CHARFORMAT </w:instrText>
      </w:r>
      <w:r>
        <w:fldChar w:fldCharType="separate"/>
      </w:r>
      <w:r w:rsidR="001C6998">
        <w:t>19</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None / 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39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recorded footprints; the decision results do not rest on it, since both arms of every comparison run on the same core.</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and not significantly different from them (paired sign-flip p = 0.47 and 0.76), although the worlds worse than Closed rise from 40 to 49 and from 16 to 28 and the rule bases grow by about four rules. With one candidate per call the forecast gates have little to select from; G1 to G4 and the no-harm guard carry the protection, and the contribution of G5 to G8 lies in the search, where the same forecasts rank the 36 candidates.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Known price, stock and delay limits retain 60%, 53% and 50%, respectively. Under the 20 ha stock, mean coated area is 11.2 ha. With price doubled, response cost is 0.277 versus 0.231 nominally and 0.428 for Closed.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Seen as a planner, the gated search is a receding-horizon search over an action grammar; the contribution is the architecture around it, a doctrine that records what the search admits and gates that make the forecast, not the proposer, the criterion of selection,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 The forecast-based guard evaluates physical cost over the guard horizon; it does not guarantee improvement on every realized trajectory.</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