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 xml:space="preserve">Abstract—Wildfire decision support systems (DSSs) mostly decide inside a closed decision space, a rule set fixed before the incident. This work presents the Gated Open Decision Architecture (GODA), built around a forecast-guided search: an executable grammar composes new interventions from a fixed set of physical effects, so the space is bounded and compositional; a chain of gates admits a candidate only when the hazard model, not the proposer, forecasts a gain on reseeded futures; and a doctrine record keeps every admitted object in force as a rule. The closed layer is a self-tuning Takagi-Sugeno rule base; in the open layer a pretrained language model proposes candidates. On 150 paired simulated incidents GODA lowers burned area by 61% against the closed layer and raises extinguished incidents from 52% to 91%; under three model errors combined the reduction is 30%, and it holds on a larger domain. Equal-budget controls locate the gain: a search over the closed vocabulary and a random proposer recover much of it, a hand-written doctrine over the same effects gains little, and withdrawing each admitted object after one cycle removes the gain. The gain therefore rests on the gated search over the effect grammar and on admitted objects that stay in force through the incident, not on the proposer. Recorded as rules, the admitted interventions keep most of the gain on held-out synthetic worlds. The hazard model is assessed by hindcast of four recorded fires; the effect operators are assumptions bounded by sensitivity tests, not calibrated on operations.</w:t>
      </w:r>
      <w:r w:rsidRPr="00A42D35">
        <w:rPr>
          <w:b/>
          <w:bCs/>
          <w:sz w:val="18"/>
          <w:szCs w:val="18"/>
        </w:rPr>
        <w:t xml:space="preserve"/>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bounded open decision space, compositional interventions,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whose parts keep their own management </w:t>
      </w:r>
      <w:sdt>
        <w:sdtPr>
          <w:id w:val="-1999990991"/>
          <w:citation/>
        </w:sdtPr>
        <w:sdtEndPr/>
        <w:sdtContent>
          <w:r>
            <w:fldChar w:fldCharType="begin"/>
          </w:r>
          <w:r>
            <w:instrText xml:space="preserve"> CITATION Turoff04 \l 1033 </w:instrText>
          </w:r>
          <w:r>
            <w:fldChar w:fldCharType="separate"/>
          </w:r>
          <w:r w:rsidR="005401C1">
            <w:rPr>
              <w:noProof/>
            </w:rPr>
            <w:t xml:space="preserve">[1]</w:t>
          </w:r>
          <w:r>
            <w:fldChar w:fldCharType="end"/>
          </w:r>
        </w:sdtContent>
      </w:sdt>
      <w:r>
        <w:t xml:space="preserve"/>
      </w:r>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 xml:space="preserve">[2]</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 xml:space="preserve">[3]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 xml:space="preserve">[2]</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 xml:space="preserve">[3]</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 xml:space="preserve">[4]</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 xml:space="preserve">[5]</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 xml:space="preserve">[6]</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 xml:space="preserve">[7]</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 xml:space="preserve">[8]</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 xml:space="preserve">[9]</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 xml:space="preserve">[4]</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 xml:space="preserve">[10]</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 xml:space="preserve">[11]</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 xml:space="preserve">[12]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 xml:space="preserve">[13]</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 xml:space="preserve">Three structural limits recur across these systems. First, a rule base, tactic menu, or optimization model fixes available orders before the incident, so the system only ranks what it is given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 xml:space="preserve">[10]</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 xml:space="preserve">[14]</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 xml:space="preserve">[15]</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 xml:space="preserve">[16]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 xml:space="preserve">[17]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 xml:space="preserve">[18]</w:t>
          </w:r>
          <w:r w:rsidR="00D31F60">
            <w:fldChar w:fldCharType="end"/>
          </w:r>
        </w:sdtContent>
      </w:sdt>
      <w:r w:rsidR="00D31F60">
        <w:t xml:space="preserve">. Second, uncertainty treatments require prior distributions or belief assignments that real-time sensing alone cannot supply, and the reasoning behind a recommendation may remain accessible only through post-hoc attribution.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 xml:space="preserve">[4]</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 xml:space="preserve">[10]</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bounded, compositional open decision space. What opens is the doctrine and the intervention repertoire during the incident; the effect basis, sectors, bands and composition length are fixed, so the openness is compositional over a fixed physical basis, not free-form.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 xml:space="preserve">[6]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 xml:space="preserve">[7]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 xml:space="preserve">[19]</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 xml:space="preserve">[4]</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 xml:space="preserve">[8]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 xml:space="preserve">[9]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 xml:space="preserve">[10]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 xml:space="preserve">[3]</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 xml:space="preserve">[20]</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 xml:space="preserve">[21]</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 xml:space="preserve">[22]</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 xml:space="preserve">[3]</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 xml:space="preserve">[18]</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w:t>
      </w:r>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 xml:space="preserve">[14]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 xml:space="preserve">[16]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 xml:space="preserve">[15]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 xml:space="preserve">[23]</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 xml:space="preserve">[18]</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 xml:space="preserve">[17]</w:t>
          </w:r>
          <w:r>
            <w:fldChar w:fldCharType="end"/>
          </w:r>
        </w:sdtContent>
      </w:sdt>
      <w:r>
        <w:t xml:space="preserve">, combines compatible modules,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 xml:space="preserve">[24]</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 xml:space="preserve">[25]</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 xml:space="preserve">[26]</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 xml:space="preserve">[27]</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 xml:space="preserve">[28]</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 xml:space="preserve">[29]</w:t>
          </w:r>
          <w:r>
            <w:fldChar w:fldCharType="end"/>
          </w:r>
        </w:sdtContent>
      </w:sdt>
      <w:r>
        <w:t xml:space="preserve">, where the model generates and an external critic accepts;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 xml:space="preserve">[30]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 xml:space="preserve">[31]</w:t>
          </w:r>
          <w:r>
            <w:fldChar w:fldCharType="end"/>
          </w:r>
        </w:sdtContent>
      </w:sdt>
      <w:r>
        <w:t xml:space="preserve"> also search a fixed vocabulary, but offline, whereas the search here runs during the incident on its forecasts. It is a receding-horizon, simulation-based optimization over a discrete grammar, run once per decision cycle; it differs from model predictive control in optimizing over composed objects that persist as rules rather than over a continuous input trajectory.</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 xml:space="preserve">[32]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 xml:space="preserve">[33]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 xml:space="preserve">[34]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 xml:space="preserve">[35]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 xml:space="preserve">[36]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 xml:space="preserve">[37]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 xml:space="preserve">[38]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with an external evaluator, from program search to reward design and embodied skill libraries, follow the same division of labor.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 xml:space="preserve">[39]</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w:t>
      </w:r>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χ</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 xml:space="preserve">[6]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 xml:space="preserve">[19]</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 xml:space="preserve">[40]</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 xml:space="preserve">[41]</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 xml:space="preserve">[42]</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w:t>
      </w:r>
      <w:sdt>
        <w:sdtPr>
          <w:id w:val="981952928"/>
          <w:citation/>
        </w:sdtPr>
        <w:sdtEndPr/>
        <w:sdtContent>
          <w:r>
            <w:fldChar w:fldCharType="begin"/>
          </w:r>
          <w:r>
            <w:instrText xml:space="preserve"> CITATION Finney06 \l 1033 </w:instrText>
          </w:r>
          <w:r>
            <w:fldChar w:fldCharType="separate"/>
          </w:r>
          <w:r w:rsidR="005401C1">
            <w:rPr>
              <w:noProof/>
            </w:rPr>
            <w:t xml:space="preserve">[7]</w:t>
          </w:r>
          <w:r>
            <w:fldChar w:fldCharType="end"/>
          </w:r>
        </w:sdtContent>
      </w:sdt>
      <w:r>
        <w:t xml:space="preserve">.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 xml:space="preserve">[6]</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χ</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w:t>
      </w:r>
      <w:sdt>
        <w:sdtPr>
          <w:id w:val="278538987"/>
          <w:citation/>
        </w:sdtPr>
        <w:sdtEndPr/>
        <w:sdtContent>
          <w:r>
            <w:fldChar w:fldCharType="begin"/>
          </w:r>
          <w:r>
            <w:instrText xml:space="preserve"> CITATION VanWagner87 \l 1033 </w:instrText>
          </w:r>
          <w:r>
            <w:fldChar w:fldCharType="separate"/>
          </w:r>
          <w:r w:rsidR="005401C1">
            <w:rPr>
              <w:noProof/>
            </w:rPr>
            <w:t xml:space="preserve">[43]</w:t>
          </w:r>
          <w:r>
            <w:fldChar w:fldCharType="end"/>
          </w:r>
        </w:sdtContent>
      </w:sdt>
      <w:r>
        <w:t xml:space="preserve"> and the operational priority method </w:t>
      </w:r>
      <w:sdt>
        <w:sdtPr>
          <w:id w:val="641725993"/>
          <w:citation/>
        </w:sdtPr>
        <w:sdtEndPr/>
        <w:sdtContent>
          <w:r>
            <w:fldChar w:fldCharType="begin"/>
          </w:r>
          <w:r>
            <w:instrText xml:space="preserve"> CITATION RodriguezSilva14 \l 1033 </w:instrText>
          </w:r>
          <w:r>
            <w:fldChar w:fldCharType="separate"/>
          </w:r>
          <w:r w:rsidR="005401C1">
            <w:rPr>
              <w:noProof/>
            </w:rPr>
            <w:t xml:space="preserve">[44]</w:t>
          </w:r>
          <w:r>
            <w:fldChar w:fldCharType="end"/>
          </w:r>
        </w:sdtContent>
      </w:sdt>
      <w:r>
        <w:t xml:space="preserve">,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ψ</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 xml:space="preserve">a</w:t>
            </w:r>
            <w:r>
              <w:t>)</w:t>
            </w:r>
          </w:p>
        </w:tc>
      </w:tr>
      <w:tr w:rsidR="003949BC" w14:paraId="3AE8D89B" w14:textId="77777777" w:rsidTr="00025AE1">
        <w:trPr>
          <w:cantSplit/>
          <w:jc w:val="center"/>
        </w:trPr>
        <w:tc>
          <w:tcPr>
            <w:tcW w:w="4500" w:type="pct"/>
            <w:vAlign w:val="center"/>
          </w:tcPr>
          <w:p>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(13b)</w:t>
            </w:r>
          </w:p>
        </w:tc>
      </w:tr>
      <w:tr w:rsidR="003949BC" w14:paraId="3AE8D89B" w14:textId="77777777" w:rsidTr="00025AE1">
        <w:trPr>
          <w:cantSplit/>
          <w:jc w:val="center"/>
        </w:trPr>
        <w:tc>
          <w:tcPr>
            <w:tcW w:w="4500" w:type="pct"/>
            <w:vAlign w:val="center"/>
          </w:tcPr>
          <w:p>
            <w:pPr>
              <w:keepNext/>
              <w:jc w:val="center"/>
            </w:pPr>
            <m:oMathPara>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min</m:t>
                    </m:r>
                  </m:sub>
                </m:sSub>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(13c)</w:t>
            </w:r>
          </w:p>
        </w:tc>
      </w:tr>
      <w:tr w:rsidR="003949BC" w14:paraId="3AE8D89B" w14:textId="77777777" w:rsidTr="00025AE1">
        <w:trPr>
          <w:cantSplit/>
          <w:jc w:val="center"/>
        </w:trPr>
        <w:tc>
          <w:tcPr>
            <w:tcW w:w="4500" w:type="pct"/>
            <w:vAlign w:val="center"/>
          </w:tcPr>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(13d)</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μ</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μ</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 xml:space="preserve">a</w:t>
            </w:r>
            <w:r>
              <w:t>)</w:t>
            </w:r>
          </w:p>
        </w:tc>
      </w:tr>
      <w:tr w:rsidR="004F7DCA" w14:paraId="3618BEF6" w14:textId="77777777" w:rsidTr="002B2CE5">
        <w:trPr>
          <w:cantSplit/>
          <w:jc w:val="center"/>
        </w:trPr>
        <w:tc>
          <w:tcPr>
            <w:tcW w:w="4500" w:type="pct"/>
            <w:vAlign w:val="center"/>
          </w:tcPr>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tc>
        <w:tc>
          <w:tcPr>
            <w:tcW w:w="500" w:type="pct"/>
            <w:noWrap/>
            <w:tcMar>
              <w:left w:w="0" w:type="dxa"/>
              <w:right w:w="0" w:type="dxa"/>
            </w:tcMar>
            <w:vAlign w:val="center"/>
          </w:tcPr>
          <w:p w14:paraId="3A6454DF" w14:textId="77777777" w:rsidR="004F7DCA" w:rsidRDefault="004F7DCA" w:rsidP="002B2CE5">
            <w:pPr>
              <w:keepNext/>
              <w:jc w:val="right"/>
            </w:pPr>
            <w:r>
              <w:t xml:space="preserve">(15b)</w:t>
            </w:r>
          </w:p>
        </w:tc>
      </w:tr>
      <w:tr w:rsidR="004F7DCA" w14:paraId="3618BEF6" w14:textId="77777777" w:rsidTr="002B2CE5">
        <w:trPr>
          <w:cantSplit/>
          <w:jc w:val="center"/>
        </w:trPr>
        <w:tc>
          <w:tcPr>
            <w:tcW w:w="4500" w:type="pct"/>
            <w:vAlign w:val="center"/>
          </w:tcPr>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 xml:space="preserve">(15c)</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 xml:space="preserve">[22]</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ζ</m:t>
                    </m:r>
                  </m:e>
                </m:d>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 xml:space="preserve">a</w:t>
            </w:r>
            <w:r>
              <w:t>)</w:t>
            </w:r>
          </w:p>
        </w:tc>
      </w:tr>
      <w:tr w:rsidR="00FB6C00" w14:paraId="551C60C7" w14:textId="77777777" w:rsidTr="00CA6688">
        <w:trPr>
          <w:cantSplit/>
          <w:jc w:val="center"/>
        </w:trPr>
        <w:tc>
          <w:tcPr>
            <w:tcW w:w="4500" w:type="pct"/>
            <w:vAlign w:val="center"/>
          </w:tcPr>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ζ </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(16b)</w:t>
            </w:r>
          </w:p>
        </w:tc>
      </w:tr>
      <w:tr w:rsidR="00FB6C00" w14:paraId="551C60C7" w14:textId="77777777" w:rsidTr="00CA6688">
        <w:trPr>
          <w:cantSplit/>
          <w:jc w:val="center"/>
        </w:trPr>
        <w:tc>
          <w:tcPr>
            <w:tcW w:w="4500" w:type="pct"/>
            <w:vAlign w:val="center"/>
          </w:tcPr>
          <w:p>
            <w:pPr>
              <w:keepNext/>
              <w:jc w:val="center"/>
            </w:pPr>
            <m:oMathPara>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(16c)</w:t>
            </w:r>
          </w:p>
        </w:tc>
      </w:tr>
      <w:tr w:rsidR="00FB6C00" w14:paraId="551C60C7" w14:textId="77777777" w:rsidTr="00CA6688">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(16d)</w:t>
            </w:r>
          </w:p>
        </w:tc>
      </w:tr>
      <w:tr w:rsidR="00FB6C00" w14:paraId="551C60C7" w14:textId="77777777" w:rsidTr="00CA6688">
        <w:trPr>
          <w:cantSplit/>
          <w:jc w:val="center"/>
        </w:trPr>
        <w:tc>
          <w:tcPr>
            <w:tcW w:w="4500" w:type="pct"/>
            <w:vAlign w:val="center"/>
          </w:tcPr>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(16e)</w:t>
            </w:r>
          </w:p>
        </w:tc>
      </w:tr>
      <w:tr w:rsidR="00FB6C00" w14:paraId="551C60C7" w14:textId="77777777" w:rsidTr="00CA6688">
        <w:trPr>
          <w:cantSplit/>
          <w:jc w:val="center"/>
        </w:trPr>
        <w:tc>
          <w:tcPr>
            <w:tcW w:w="4500" w:type="pct"/>
            <w:vAlign w:val="center"/>
          </w:tcPr>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(16f)</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placed beside the five base terms. The base terms keep their partition of unity and the other rules keep reading them, so their firing strengths do not change; only rules written on the inserted term read it.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ζ</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are the left corners of term </w:t>
      </w:r>
      <m:oMath>
        <m:r>
          <w:rPr>
            <w:rFonts w:ascii="Cambria Math" w:hAnsi="Cambria Math"/>
          </w:rPr>
          <m:t>t</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ty m:val="p"/>
              </m:rPr>
              <w:rPr>
                <w:rFonts w:ascii="Cambria Math" w:hAnsi="Cambria Math"/>
              </w:rPr>
              <m:t>q</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E</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 xml:space="preserve">a</w:t>
            </w:r>
            <w:r>
              <w:t>)</w:t>
            </w:r>
          </w:p>
        </w:tc>
      </w:tr>
      <w:tr w:rsidR="00A9035B" w14:paraId="1617B8C9" w14:textId="77777777" w:rsidTr="00ED644E">
        <w:trPr>
          <w:cantSplit/>
          <w:jc w:val="center"/>
        </w:trPr>
        <w:tc>
          <w:tcPr>
            <w:tcW w:w="4500" w:type="pct"/>
            <w:vAlign w:val="center"/>
          </w:tcPr>
          <w:p>
            <w:pPr>
              <w:keepNext/>
              <w:jc w:val="center"/>
            </w:pPr>
            <m:oMathPara>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ϑ</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(18b)</w:t>
            </w:r>
          </w:p>
        </w:tc>
      </w:tr>
      <w:tr w:rsidR="00A9035B" w14:paraId="1617B8C9" w14:textId="77777777" w:rsidTr="00ED644E">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sSub>
                      <m:e>
                        <m:r>
                          <w:rPr>
                            <w:rFonts w:ascii="Cambria Math" w:hAnsi="Cambria Math"/>
                          </w:rPr>
                          <m:t>ϑ</m:t>
                        </m:r>
                      </m:e>
                      <m:sub>
                        <m:r>
                          <w:rPr>
                            <w:rFonts w:ascii="Cambria Math" w:hAnsi="Cambria Math"/>
                          </w:rPr>
                          <m:t>c</m:t>
                        </m:r>
                      </m:sub>
                    </m:sSub>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(18c)</w:t>
            </w:r>
          </w:p>
        </w:tc>
      </w:tr>
      <w:tr w:rsidR="00A9035B" w14:paraId="1617B8C9" w14:textId="77777777" w:rsidTr="00ED644E">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(18d)</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ℓ</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ℓ</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ϑ</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 xml:space="preserve">The other effects use maxima over the existing fields on the same mask. Wet raises capacity to ϑ</w:t>
      </w:r>
      <w:r>
        <w:rPr>
          <w:vertAlign w:val="subscript"/>
        </w:rPr>
        <w:t xml:space="preserve">c</w:t>
      </w:r>
      <w:r>
        <w:t xml:space="preserve"> of its cap and availability to 0.3 + 0.7ϑ</w:t>
      </w:r>
      <w:r>
        <w:rPr>
          <w:vertAlign w:val="subscript"/>
        </w:rPr>
        <w:t xml:space="preserve">c</w:t>
      </w:r>
      <w:r>
        <w:t xml:space="preserve">. Clear sets the cut field and raises capacity to at least 0.8 of its cap. Ignite raises the ignition command to ϑ</w:t>
      </w:r>
      <w:r>
        <w:rPr>
          <w:vertAlign w:val="subscript"/>
        </w:rPr>
        <w:t xml:space="preserve">c</w:t>
      </w:r>
      <w:r>
        <w:t xml:space="preserve">; above 0.5, the core ignites a nonburning cell if fuel remains and moisture is below extinction, then advances its spread normally. Evacuate raises the evacuation field to ϑ</w:t>
      </w:r>
      <w:r>
        <w:rPr>
          <w:vertAlign w:val="subscript"/>
        </w:rPr>
        <w:t xml:space="preserve">c</w:t>
      </w:r>
      <w:r>
        <w:t xml:space="preserve">, and prime raises the warning field to ϑ</w:t>
      </w:r>
      <w:r>
        <w:rPr>
          <w:vertAlign w:val="subscript"/>
        </w:rPr>
        <w:t xml:space="preserve">c</w:t>
      </w:r>
      <w:r>
        <w:t xml:space="preserve">. These fixed physical effects support new compositions of interventions.</w:t>
      </w:r>
    </w:p>
    <w:p w14:paraId="77DA5E18" w14:textId="20451B71"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 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shadow futures that differ in their ember draws, require a strict gain; the two futures are close (Section V-A), so G6 guards against a candidate fitted to one ember path and not against state or model uncertainty.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E</m:t>
            </m:r>
          </m:sub>
        </m:sSub>
      </m:oMath>
      <w:r w:rsidR="00517F54">
        <w:t xml:space="preserve"> the rule carrying object </w:t>
      </w:r>
      <m:oMath>
        <m:r>
          <w:rPr>
            <w:rFonts w:ascii="Cambria Math" w:hAnsi="Cambria Math"/>
          </w:rPr>
          <m:t>E</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E</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 xml:space="preserve">a</w:t>
            </w:r>
            <w:r>
              <w:t>)</w:t>
            </w:r>
          </w:p>
        </w:tc>
      </w:tr>
      <w:tr w:rsidR="00F30F81" w14:paraId="209C4C85" w14:textId="77777777">
        <w:trPr>
          <w:cantSplit/>
          <w:jc w:val="center"/>
        </w:trPr>
        <w:tc>
          <w:tcPr>
            <w:tcW w:w="4500" w:type="pct"/>
            <w:vAlign w:val="center"/>
          </w:tcPr>
          <w:p>
            <w:pPr>
              <w:keepNext/>
              <w:jc w:val="center"/>
            </w:pPr>
            <m:oMathPara>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(19b)</w:t>
            </w:r>
          </w:p>
        </w:tc>
      </w:tr>
      <w:tr w:rsidR="00F30F81" w14:paraId="209C4C85" w14:textId="77777777">
        <w:trPr>
          <w:cantSplit/>
          <w:jc w:val="center"/>
        </w:trPr>
        <w:tc>
          <w:tcPr>
            <w:tcW w:w="4500" w:type="pct"/>
            <w:vAlign w:val="center"/>
          </w:tcPr>
          <w:p>
            <w:pPr>
              <w:keepNext/>
              <w:jc w:val="center"/>
            </w:pPr>
            <m:oMathPara>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E</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(19c)</w:t>
            </w:r>
          </w:p>
        </w:tc>
      </w:tr>
      <w:tr w:rsidR="00F30F81" w14:paraId="209C4C85" w14:textId="77777777">
        <w:trPr>
          <w:cantSplit/>
          <w:jc w:val="center"/>
        </w:trPr>
        <w:tc>
          <w:tcPr>
            <w:tcW w:w="4500" w:type="pct"/>
            <w:vAlign w:val="center"/>
          </w:tcPr>
          <w:p>
            <w:pPr>
              <w:keepNext/>
              <w:jc w:val="center"/>
            </w:pPr>
            <m:oMathPara>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(19d)</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t xml:space="preserve">Algorithm S1 in the Supplementary Material</w:t>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Γ</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 xml:space="preserve">a</w:t>
            </w:r>
            <w:r>
              <w:t>)</w:t>
            </w:r>
          </w:p>
        </w:tc>
      </w:tr>
      <w:tr w:rsidR="0043376C" w14:paraId="56A640FF" w14:textId="77777777" w:rsidTr="00FE5410">
        <w:trPr>
          <w:cantSplit/>
          <w:jc w:val="center"/>
        </w:trPr>
        <w:tc>
          <w:tcPr>
            <w:tcW w:w="4500" w:type="pct"/>
            <w:vAlign w:val="center"/>
          </w:tcPr>
          <w:p>
            <w:pPr>
              <w:keepNext/>
              <w:jc w:val="cente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Para>
          </w:p>
        </w:tc>
        <w:tc>
          <w:tcPr>
            <w:tcW w:w="500" w:type="pct"/>
            <w:noWrap/>
            <w:tcMar>
              <w:left w:w="0" w:type="dxa"/>
              <w:right w:w="0" w:type="dxa"/>
            </w:tcMar>
            <w:vAlign w:val="center"/>
          </w:tcPr>
          <w:p w14:paraId="7AD4F41F" w14:textId="77777777" w:rsidR="0043376C" w:rsidRDefault="0043376C" w:rsidP="00FE5410">
            <w:pPr>
              <w:keepNext/>
              <w:jc w:val="right"/>
            </w:pPr>
            <w:r>
              <w:t xml:space="preserve">(21b)</w:t>
            </w:r>
          </w:p>
        </w:tc>
      </w:tr>
      <w:tr w:rsidR="0043376C" w14:paraId="56A640FF" w14:textId="77777777" w:rsidTr="00FE5410">
        <w:trPr>
          <w:cantSplit/>
          <w:jc w:val="center"/>
        </w:trPr>
        <w:tc>
          <w:tcPr>
            <w:tcW w:w="4500" w:type="pct"/>
            <w:vAlign w:val="center"/>
          </w:tcPr>
          <w:p>
            <w:pPr>
              <w:keepNex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 xml:space="preserve">(21c)</w:t>
            </w:r>
          </w:p>
        </w:tc>
      </w:tr>
    </w:tbl>
    <w:p w14:paraId="43185AAB" w14:textId="77777777" w:rsidR="0043376C" w:rsidRPr="001D185A" w:rsidRDefault="0043376C" w:rsidP="007B7A52">
      <w:pPr>
        <w:pStyle w:val="Text"/>
        <w:rPr>
          <w:sz w:val="14"/>
          <w:szCs w:val="14"/>
        </w:rPr>
      </w:pPr>
    </w:p>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t xml:space="preserve">Table S8 in the Supplementary Material</w:t>
      </w:r>
      <w:r>
        <w:t xml:space="preserve"> lists the controls and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shadow forecasts step at 5 min, so the two horizons are 5 and 9 shadow steps.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S7 removes. In S5 the confidence of every reading, selected for corruption or not, is multiplied by 0.8, so the closed layer knows the outage rate but not which readings are corrupted.</w:t>
      </w:r>
    </w:p>
    <w:p w14:paraId="09B60A2D" w14:textId="1917FC1F" w:rsidR="003E3FD9" w:rsidRDefault="00284E68" w:rsidP="00C83E79">
      <w:pPr>
        <w:pStyle w:val="TableTitle"/>
        <w:keepNext/>
        <w:spacing w:before="120"/>
      </w:pPr>
      <w:bookmarkStart w:id="51" w:name="_RefTab_scen"/>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w:t>
      </w:r>
      <w:r w:rsidR="00D31F60">
        <w:rPr>
          <w:noProof/>
        </w:rPr>
        <w:fldChar w:fldCharType="end"/>
      </w:r>
      <w:bookmarkEnd w:id="51"/>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the admission logs and the six candidates returned by every model call are available online; the prompt of a call is reconstructed from the template in the Supplementary Material and the logged brief</w:t>
      </w:r>
      <w:r>
        <w:rPr>
          <w:rStyle w:val="FootnoteReference"/>
        </w:rPr>
        <w:footnoteReference w:id="2"/>
      </w:r>
      <w:r>
        <w:t xml:space="preserve">. The behavior of hosted language models drifts across versions, so the model name is recorded and the repeat run reports the run-to-run change. </w:t>
      </w:r>
      <w:sdt>
        <w:sdtPr>
          <w:id w:val="-314533478"/>
          <w:citation/>
        </w:sdtPr>
        <w:sdtEndPr/>
        <w:sdtContent>
          <w:r>
            <w:fldChar w:fldCharType="begin"/>
          </w:r>
          <w:r>
            <w:instrText xml:space="preserve"> CITATION Chen24 \l 1033 </w:instrText>
          </w:r>
          <w:r>
            <w:fldChar w:fldCharType="separate"/>
          </w:r>
          <w:r>
            <w:rPr>
              <w:noProof/>
            </w:rPr>
            <w:t xml:space="preserve">[45]</w:t>
          </w:r>
          <w:r>
            <w:fldChar w:fldCharType="end"/>
          </w:r>
        </w:sdtContent>
      </w:sdt>
      <w:r>
        <w:t xml:space="preserve">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Table S8 in the Supplementary Material lists the controls; each keeps the worlds and gates of GODA and changes one thing. Shadow streams are separate from the world seeds. The two streams differ in the ember draws only: over the 364 final tests the forecast costs of the two futures differ by a median 0.2% of the baseline cost, and the gains on the two futures agree in sign for 99% of the candidates, so the second future guards against a candidate fitted to one ember path and not against state or model uncertainty, which the independent-future, model-error and situation-picture tests address.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The cost-function test replays the admitted objects under four changed cost functions and reruns live generation under one of them, the reference burned fraction 0.25. Each setting has its own paired Closed reference. The six hand-written tactics of Table III, written from initial-attack practice over the seven effects, extend the five seeds as rules of the doctrine that fire on their antecedents and place their clauses by sector and band, so this control is a fixed library with the full effect repertoire from the first cycle. A tuned variant chooses the band and amount of each tactic among six variants by the one-future forecast, six forecasts per tactic, the first time the tactic fires.</w:t>
      </w:r>
      <w:r>
        <w:fldChar w:fldCharType="begin"/>
      </w:r>
      <w:r>
        <w:instrText xml:space="preserve"> REF _RefTab_expert \h </w:instrText>
      </w:r>
      <w:r>
        <w:fldChar w:fldCharType="separate"/>
      </w:r>
      <w:r>
        <w:t xml:space="preserve"/>
      </w:r>
      <w:r>
        <w:fldChar w:fldCharType="end"/>
      </w:r>
      <w:r>
        <w:t xml:space="preserve"/>
      </w:r>
    </w:p>
    <w:p w14:paraId="074F567F"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 The forecast budget is equal across proposers but the computation is not: a world takes 93 s with the random proposer, 62 s with the evolutionary search and 105 s with GODA on the campaign machine, and the model calls run on a hosted service whose computation is not counted.</w:t>
      </w:r>
    </w:p>
    <w:p w14:paraId="09B60A2D" w14:textId="1917FC1F" w:rsidR="003E3FD9" w:rsidRDefault="00284E68" w:rsidP="00C83E79">
      <w:pPr>
        <w:pStyle w:val="TableTitle"/>
        <w:keepNext/>
        <w:spacing w:before="120"/>
      </w:pPr>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One family of 57 aggregate comparisons, the main comparison and every row of Tables VI, VII and S7, so that no reported comparison is left outside it, is tested with a two-sided paired sign-flip test on one million random sign assignments and the Holm adjustment; the main comparison gives p &lt; 0.0001. The median per-world change is −21 ha in burned area, −49% of the Closed area of the world, and −0.041 in total cost, −36%. The 150 worlds are five families of 30 seeds, and a mixed-effects model of the paired difference with a random intercept per family gives −46 ha (standard error 18, p = 0.010) for burned area and −0.079 (standard error 0.023, p &lt; 0.001) for total cost, so the conclusion does not rest on treating the worlds as independent. The rows of Tables VI, VII and S7 carry unadjusted 95% intervals; the last column of each gives the Holm-adjusted p, under which 52 rows stay below 0.05, the exceptions being the two single random-candidate controls, the persistence ablation, the forecast-tuned hand-written tactics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w:t>
      </w:r>
      <w:sdt>
        <w:sdtPr>
          <w:id w:val="1452809620"/>
          <w:citation/>
        </w:sdtPr>
        <w:sdtEndPr/>
        <w:sdtContent>
          <w:r>
            <w:fldChar w:fldCharType="begin"/>
          </w:r>
          <w:r>
            <w:instrText xml:space="preserve"> CITATION Pais212 \l 1033 </w:instrText>
          </w:r>
          <w:r>
            <w:fldChar w:fldCharType="separate"/>
          </w:r>
          <w:r w:rsidR="005401C1">
            <w:rPr>
              <w:noProof/>
            </w:rPr>
            <w:t xml:space="preserve">[19]</w:t>
          </w:r>
          <w:r>
            <w:fldChar w:fldCharType="end"/>
          </w:r>
        </w:sdtContent>
      </w:sdt>
      <w:r>
        <w:t xml:space="preserve">.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Under the three model errors combined (Section V-C, below) the same comparison runs from 82.3 to 57.4 ha, a reduction of 30%, with 65% of incidents extinguished against 55%, and Table V carries that row beside the nominal one. The lower block of Table V gives, each against its own Closed reference, the evolutionary search over the closed vocabulary (42.9 ha, the reference for what the composed grammar adds), coating held to the reach and charge of the ground effects (36.0 ha), the replay without the ignite-bearing objects (34.3 ha) and the larger domain (134 ha against 309). Response cost also falls by 46%, so resource expansion does not explain the gain. Four changed cost functions, replayed and in one case rerun live, leave the area result unchanged and narrow the total-cost margin at most from 48% to 31% (Supplementary Material).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59"/>
    </w:p>
    <w:p w14:paraId="21638B9C" w14:textId="77777777" w:rsidR="00CB2143" w:rsidRDefault="00CB2143" w:rsidP="00CB2143">
      <w:pPr>
        <w:pStyle w:val="TableTitle"/>
        <w:keepNext/>
        <w:spacing w:after="60"/>
      </w:pPr>
      <w:r>
        <w:t xml:space="preserve">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i/>
              </w:rPr>
              <w:t xml:space="preserve">Other configurations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i/>
              </w:rPr>
              <w:t xml:space="preserve">Own Closed reference</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i/>
              </w:rPr>
              <w:t xml:space="preserve">Configuration named</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combined model error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82.3 ± 12.2</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57.4 ± 12.3</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Evolutionary search, families only</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42.9 ± 9.6</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Coating reach-limited and charged</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77.8 ± 12.3</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36.0 ± 8.6</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Ignite objects withheld, replay</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34.3 ± 8.7</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3.6 × 2.7 km domain, 30 worlds</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309 ± 104</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134 ± 85</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 xml:space="preserve">Table VI groups the source, search and gate comparisons; Table S7 in the Supplementary Material holds the model-error and operating-limit rows.</w:t>
      </w:r>
      <w:r>
        <w:fldChar w:fldCharType="end"/>
      </w:r>
      <w:r>
        <w:t xml:space="preserve">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 at that budget a population of 6 over five generations and one of 18 over one generation reach 46 ± 11% each, so its setting is not what holds it there.</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An evolutionary search restricted to the same six families, the receding-horizon optimization baseline over the closed vocabulary, reaches 43 ± 11% with 82% of incidents extinguished, within 4 ± 11% of the random closed-vocabulary search; paired directly, GODA lowers area by a further 32 ± 16% and total cost by 25 ± 10% against it, better in 99 worlds and worse in 38 (p &lt; 0.0001, below the family-wise threshold), so a stronger optimizer over the closed vocabulary does not close the gap, and the composed grammar, not the lookahead alone, carries the difference. Random seeds with the variation operator reach 34 ± 9%, below fresh sampling, so variations need good seeds. Seeding the same search with the hand-written tactics of Table III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and by 28 ± 17% and 29 ± 19% against its two other settings; the corresponding margin over the random full search is 28 ± 20% (p = 0.004), and over the closed-vocabulary search 35 ± 17% (p &lt; 0.0001). Of these, only the last survives the family-wise correction, as does the margin over the evolutionary search restricted to the six families,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since the two standard futures are close, independent futures are the setting recommended for deployment; the main campaign keeps the standard futures so that its rows remain comparable. Selecting on one future and admitting on G5 alone, with G6 to G8 off and the no-harm guard on, gives 55 ± 13%, better in 131 worlds and worse in 7, with 87% of incidents extinguished against 91%, within 16 ± 18% of the full chain; the objects it admits are harmful in the counterfactual sense, in that their removal from the replay lowers burned area, in 14% of cases (51 of 375) against 10% (37 of 359) under the full chain, a difference of 3 ± 5 percentage points that is not significant on its own; this measure takes one object out at a time and does not account for interactions among objects, and at the incident level the difference is 6 points of area and 4 points of extinguished incidents, inside the paired interval. The verification gates therefore add little to the mean and reduce the counterfactually harmful admissions: G6 guards against a candidate fitted to one random future, G7 against a package that grows the vocabulary for no gain, and G8 against a package carried by the ordinary orders written beside its new object. Withdrawing every admitted object after the cycle in which it first acts removes the gain entirely: the same search admits 3.1 objects per world and ends at +2 ± 5% against Closed, better in 59 worlds and worse in 73, with 49% of incidents extinguished, so an admitted object must stay in force through the incident; the withdrawal ends its order and its reuse together, and this test does not separate the two.</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4C499829" w14:textId="77777777" w:rsidR="00CB2143" w:rsidRDefault="00CB2143" w:rsidP="00CB2143">
      <w:pPr>
        <w:pStyle w:val="TableTitle"/>
        <w:keepNext/>
        <w:spacing w:after="60"/>
      </w:pPr>
      <w:r>
        <w:t xml:space="preserve">Search and gate comparisons (unadjusted 95% half-widths; p Holm-adjusted over the family of 57)</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0.17</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 xml:space="preserve">0.17</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 xml:space="preserve">Evolutionary search, families only</w:t>
            </w:r>
          </w:p>
        </w:tc>
        <w:tc>
          <w:tcPr>
            <w:tcW w:w="1100" w:type="dxa"/>
          </w:tcPr>
          <w:p w14:paraId="0F493BA2" w14:textId="77777777" w:rsidR="00CB2143" w:rsidRDefault="00CB2143" w:rsidP="00074B69">
            <w:pPr>
              <w:keepNext/>
              <w:spacing w:line="220" w:lineRule="auto"/>
              <w:jc w:val="center"/>
            </w:pPr>
            <w:r>
              <w:rPr>
                <w:sz w:val="18"/>
              </w:rPr>
              <w:t xml:space="preserve">−43 ± 11</w:t>
            </w:r>
          </w:p>
        </w:tc>
        <w:tc>
          <w:tcPr>
            <w:tcW w:w="1100" w:type="dxa"/>
          </w:tcPr>
          <w:p w14:paraId="07817279" w14:textId="77777777" w:rsidR="00CB2143" w:rsidRDefault="00CB2143" w:rsidP="00074B69">
            <w:pPr>
              <w:keepNext/>
              <w:spacing w:line="220" w:lineRule="auto"/>
              <w:jc w:val="center"/>
            </w:pPr>
            <w:r>
              <w:rPr>
                <w:sz w:val="18"/>
              </w:rPr>
              <w:t xml:space="preserve">−31 ± 7</w:t>
            </w:r>
          </w:p>
        </w:tc>
        <w:tc>
          <w:tcPr>
            <w:tcW w:w="1053" w:type="dxa"/>
          </w:tcPr>
          <w:p w14:paraId="0C113D6A" w14:textId="77777777" w:rsidR="00CB2143" w:rsidRDefault="00CB2143" w:rsidP="00074B69">
            <w:pPr>
              <w:keepNext/>
              <w:spacing w:line="220" w:lineRule="auto"/>
              <w:jc w:val="center"/>
            </w:pPr>
            <w:r>
              <w:rPr>
                <w:sz w:val="18"/>
              </w:rPr>
              <w:t xml:space="preserve">&lt;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 12 × 3</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6 × 5</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18 × 1</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Admitted objects withdrawn after one cycle</w:t>
            </w:r>
          </w:p>
        </w:tc>
        <w:tc>
          <w:tcPr>
            <w:tcW w:w="1100" w:type="dxa"/>
          </w:tcPr>
          <w:p w14:paraId="5A013B0F" w14:textId="77777777" w:rsidR="00CB2143" w:rsidRDefault="00CB2143" w:rsidP="00074B69">
            <w:pPr>
              <w:keepNext/>
              <w:spacing w:line="220" w:lineRule="auto"/>
              <w:jc w:val="center"/>
            </w:pPr>
            <w:r>
              <w:rPr>
                <w:sz w:val="18"/>
              </w:rPr>
              <w:t xml:space="preserve">+2 ± 5</w:t>
            </w:r>
          </w:p>
        </w:tc>
        <w:tc>
          <w:tcPr>
            <w:tcW w:w="1100" w:type="dxa"/>
          </w:tcPr>
          <w:p w14:paraId="7C43A163" w14:textId="77777777" w:rsidR="00CB2143" w:rsidRDefault="00CB2143" w:rsidP="00074B69">
            <w:pPr>
              <w:keepNext/>
              <w:spacing w:line="220" w:lineRule="auto"/>
              <w:jc w:val="center"/>
            </w:pPr>
            <w:r>
              <w:rPr>
                <w:sz w:val="18"/>
              </w:rPr>
              <w:t xml:space="preserve">+3 ± 4</w:t>
            </w:r>
          </w:p>
        </w:tc>
        <w:tc>
          <w:tcPr>
            <w:tcW w:w="1053" w:type="dxa"/>
          </w:tcPr>
          <w:p w14:paraId="4993453B" w14:textId="77777777" w:rsidR="00CB2143" w:rsidRDefault="00CB2143" w:rsidP="00074B69">
            <w:pPr>
              <w:keepNext/>
              <w:spacing w:line="220" w:lineRule="auto"/>
              <w:jc w:val="center"/>
            </w:pPr>
            <w:r>
              <w:rPr>
                <w:sz w:val="18"/>
              </w:rPr>
              <w:t xml:space="preserve">0.82</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Table S7 in the Supplementary Material lists the model-error and operating-limit rows. 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w:t>
      </w:r>
      <w:sdt>
        <w:sdtPr>
          <w:id w:val="1561982677"/>
          <w:citation/>
        </w:sdtPr>
        <w:sdtEndPr/>
        <w:sdtContent>
          <w:r>
            <w:fldChar w:fldCharType="begin"/>
          </w:r>
          <w:r>
            <w:instrText xml:space="preserve"> CITATION Plucinski19 \l 1033 </w:instrText>
          </w:r>
          <w:r>
            <w:fldChar w:fldCharType="separate"/>
          </w:r>
          <w:r w:rsidR="005401C1">
            <w:rPr>
              <w:noProof/>
            </w:rPr>
            <w:t xml:space="preserve">[41]</w:t>
          </w:r>
          <w:r>
            <w:fldChar w:fldCharType="end"/>
          </w:r>
        </w:sdtContent>
      </w:sdt>
      <w:r>
        <w:t xml:space="preserve">, and across them the advantage runs from 33% to 61%. A replay sweep of the coating effectiveness, the burning reduction and the moisture floor scaled together to 0.75, 0.5, 0.25 and 0 of their nominal values, retains 55, 46, 31 and 31% against Closed, within two points whether the planner keeps the nominal coating or shares the weaker one; the gain falls with the assumed effectiveness to a floor near 30% carried by the other effects, and the two lowest levels coincide because below half effectiveness a coated cell no longer stops spread. The other settings move one or three parameters at a time; within them the ordering against Closed is unchanged in every row of Table S7, while the ordering among the gated searches was not tested under perturbed effect operators. The coating, suppression, clearing and ignition operators are modelling assumptions whose nominal values are design choices; this study bounds the dependence of the gain on them and does not validate them against operations.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recur in 15 to 29 of those worlds, so any threshold between 7 and 15 selects the same four, and a threshold of 20 would drop interface hardening;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III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Tuning those tactics on forecasts does not help: with the band and amount of each tactic chosen among six variants by the same one-future forecast that prices every search candidate, the tuned doctrine reduces area by 6 ± 7%, within 3 ± 6% of the tactics as written; in 74% of the choices no variant changes the 45 min forecast and the tactic stays as written, so the forecast has nothing to tune in a hand-written tactic. What the search finds is not better parameters for known tactics but compositions that the tactics do not contain.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6"/>
    </w:p>
    <w:p w14:paraId="2547F559" w14:textId="77777777" w:rsidR="00284E68" w:rsidRDefault="00284E68" w:rsidP="00284E68">
      <w:pPr>
        <w:pStyle w:val="TableTitle"/>
        <w:keepNext/>
        <w:spacing w:after="60"/>
      </w:pPr>
      <w:r>
        <w:t xml:space="preserve">Doctrine and continued generation comparisons (unadjusted 95% half-widths; p Holm-adjusted over the family of 57)</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 xml:space="preserve">0.035</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 xml:space="preserve">0.0067</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 xml:space="preserve">Seeds + six hand-written tactics tuned on forecasts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 xml:space="preserve">150</w:t>
            </w:r>
          </w:p>
        </w:tc>
        <w:tc>
          <w:tcPr>
            <w:tcW w:w="760" w:type="dxa"/>
            <w:vAlign w:val="center"/>
          </w:tcPr>
          <w:p w14:paraId="5CEC8D0C" w14:textId="77777777" w:rsidR="00284E68" w:rsidRDefault="00284E68" w:rsidP="00652ECC">
            <w:pPr>
              <w:keepNext/>
              <w:spacing w:line="220" w:lineRule="auto"/>
              <w:jc w:val="center"/>
            </w:pPr>
            <w:r>
              <w:rPr>
                <w:sz w:val="18"/>
              </w:rPr>
              <w:t xml:space="preserve">−6 ± 7</w:t>
            </w:r>
          </w:p>
        </w:tc>
        <w:tc>
          <w:tcPr>
            <w:tcW w:w="780" w:type="dxa"/>
            <w:vAlign w:val="center"/>
          </w:tcPr>
          <w:p w14:paraId="79EBE2CB" w14:textId="77777777" w:rsidR="00284E68" w:rsidRDefault="00284E68" w:rsidP="00652ECC">
            <w:pPr>
              <w:keepNext/>
              <w:spacing w:line="220" w:lineRule="auto"/>
              <w:jc w:val="center"/>
            </w:pPr>
            <w:r>
              <w:rPr>
                <w:sz w:val="18"/>
              </w:rPr>
              <w:t xml:space="preserve">−2 ± 6</w:t>
            </w:r>
          </w:p>
        </w:tc>
        <w:tc>
          <w:tcPr>
            <w:tcW w:w="800" w:type="dxa"/>
            <w:vAlign w:val="center"/>
          </w:tcPr>
          <w:p w14:paraId="696872FD" w14:textId="77777777" w:rsidR="00284E68" w:rsidRDefault="00284E68" w:rsidP="00652ECC">
            <w:pPr>
              <w:keepNext/>
              <w:spacing w:line="220" w:lineRule="auto"/>
              <w:jc w:val="center"/>
            </w:pPr>
            <w:r>
              <w:rPr>
                <w:sz w:val="18"/>
              </w:rPr>
              <w:t xml:space="preserve">0.36</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 xml:space="preserve">0.89</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 xml:space="preserve">&lt;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 xml:space="preserve">0.0010</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0.0042</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Pr>
          <w:sz w:val="18"/>
        </w:rPr>
        <w:t xml:space="preserve">Fig. S1 in the Supplementary Material</w:t>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simulated worlds, it reduces burned area by 61%, and by 30% under three model errors combined, affected population, the initial residents of burned cells, by 80% and response cost by 46%, while increasing extinguished incidents from 52% to 91%. Every result of this study is an evaluation of the architecture inside its own hazard model; the hindcast assesses the footprint shape of that model and nothing here establishes the effect of the generated interventions on a real fire. The controls order the sources of the gain. A forecast-guided search over the closed vocabulary alone recovers two thirds of it, and an evolutionary search over that vocabulary 70%; the latter, the strongest closed-vocabulary optimizer tested, and not the reactive closed layer, is the reference for what the composed grammar adds, a margin of 32 ± 16% that survives the correction. A random proposer over the composed grammar recovers three quarters, and the model candidates with their variations the rest, with the largest share in the hardest family; of the margins among the gated searches, only those over the two closed-vocabulary searches survive the family-wise correction, and the share of the model candidates appears at the full budget only. The gain therefore rests on the gated search over the effect grammar more than on the proposer; the verification gates G6 to G8 add little to the mean gain and bound the harmful admissions, admitted objects must stay in force through the incident, since withdrawing each after one cycle, which ends its order and its reuse together, leaves no gain, and about two thirds of the gain travels with coating-bearing objects, which keep most of it when coating is priced and reach-limited, while the gain falls with the assumed coating effectiveness to a floor near 30% at zero effect.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and tuning those tactics on forecasts does not improve them as doctrine.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Robustness is established for the tested perturbation classes, parameter and structural errors of the live model, redrawn omissions of burning cells and corrupted figures, and not for persistent blind sectors, delayed state updates or false detections, which were not tested. 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 Both are shown on held-out synthetic worlds and scenario families of the same model, not across fire regimes.</w:t>
      </w:r>
    </w:p>
    <w:p w14:paraId="559B7583" w14:textId="77777777" w:rsidR="00FF0CB1" w:rsidRDefault="00CB2143">
      <w:pPr>
        <w:pStyle w:val="Text"/>
        <w:spacing w:line="240" w:lineRule="auto"/>
      </w:pP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and the evidence validates the decision core inside the architecture rather than the integrated system: the hazard model, the decision core and the doctrine record are evaluated, the regional agents for cost and scaling only, and the operator interface, distributed operation and data assimilation are design. The language model is a hosted service with closed weights, undisclosed sampling and version drift, and its computation is not counted in the equal-budget comparison; since its margin over the random proposer is not established after correction, the configuration with the random proposer, which needs no model call, is the recommended default where a model is unavailable or its cost is not justified, and the model is an optional candidate source. The 30 min wait on an unanswered model call is a setting of the resumable campaign; in operation a call not answered within the decision interval is skipped and the order of the closed layer stands.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S7 are the only test of such orders under a wrong model. An ignite clause is admitted on the forecast alone; no wind, anchor or crew-distance condition is checked, so in a deployment such clauses should be disabled by default or pass an additional gate that encodes the burnout rules of the agency. The effect-removal replay bounds what they contribute: withholding every ignite-bearing object costs 3 points of the 58% replayed gain. Two further limits bound the claims: the effect operators are modelling assumptions, bounded by the coating settings of Table S7 rather than calibrated on observed operations; and the hand-written tactics of Table III were written once, and tuning their bands and amounts on forecasts did not improve them, so their margin measures that doctrine, not the best an expert could write.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w:t>
      </w:r>
      <w:sdt>
        <w:sdtPr>
          <w:id w:val="1496016853"/>
          <w:citation/>
        </w:sdtPr>
        <w:sdtEndPr/>
        <w:sdtContent>
          <w:r>
            <w:fldChar w:fldCharType="begin"/>
          </w:r>
          <w:r>
            <w:instrText xml:space="preserve"> CITATION Akman26 \l 1033 </w:instrText>
          </w:r>
          <w:r>
            <w:fldChar w:fldCharType="separate"/>
          </w:r>
          <w:r w:rsidR="005401C1">
            <w:rPr>
              <w:noProof/>
            </w:rPr>
            <w:t xml:space="preserve">[46]</w:t>
          </w:r>
          <w:r>
            <w:fldChar w:fldCharType="end"/>
          </w:r>
        </w:sdtContent>
      </w:sdt>
      <w:r>
        <w:t xml:space="preserve">.</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[2]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[3]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[4]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[5]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[6]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[7]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[8]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[9]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[10]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[11]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[12]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[13]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[14]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[15]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[16]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[17]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[18]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[19]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[20]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[21]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[22]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[23]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[24]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[25]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[26]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[27]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[28]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[29]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[30]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[31]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[32]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[33]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[34]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[35]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[36]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[37]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[38]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[39]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[40]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[41]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[42]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[43]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[44]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[45]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[46]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