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 xml:space="preserve">Abstract—Wildfire decision support systems (DSSs) mostly decide inside a closed decision space, a rule set fixed before the incident. This work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on reseeded futures; and a doctrine record keeps every admitted object in force as a rule. The closed layer is a self-tuning Takagi-Sugeno rule base; in the open layer a pretrained language model proposes candidates. On 150 paired simulated incidents GODA lowers burned area by 61% against the closed layer and raises extinguished incidents from 52% to 91%; under three model errors combined the reduction is 30%, and it holds on a larger domain. Equal-budget controls locate the gain: a search over the closed vocabulary and a random proposer recover much of it, a hand-written doctrine over the same effects gains little, and withdrawing each admitted object after one cycle removes the gain. The gain therefore rests on the gated search over the effect grammar and on admitted objects that stay in force through the incident, not on the proposer. Recorded as rules, the admitted interventions keep most of the gain on held-out synthetic worlds. The hazard model is assessed by hindcast of four recorded fires; the effect operators are assumptions bounded by sensitivity tests, not calibrated on operations.</w:t>
      </w:r>
      <w:r w:rsidRPr="00A42D35">
        <w:rPr>
          <w:b/>
          <w:bCs/>
          <w:sz w:val="18"/>
          <w:szCs w:val="18"/>
        </w:rPr>
        <w:t xml:space="preserve"/>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bounded open decision space, compositional interventions,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whose parts keep their own management </w:t>
      </w:r>
      <w:sdt>
        <w:sdtPr>
          <w:id w:val="-1999990991"/>
          <w:citation/>
        </w:sdtPr>
        <w:sdtEndPr/>
        <w:sdtContent>
          <w:r>
            <w:fldChar w:fldCharType="begin"/>
          </w:r>
          <w:r>
            <w:instrText xml:space="preserve"> CITATION Turoff04 \l 1033 </w:instrText>
          </w:r>
          <w:r>
            <w:fldChar w:fldCharType="separate"/>
          </w:r>
          <w:r w:rsidR="005401C1">
            <w:rPr>
              <w:noProof/>
            </w:rPr>
            <w:t xml:space="preserve">[1]</w:t>
          </w:r>
          <w:r>
            <w:fldChar w:fldCharType="end"/>
          </w:r>
        </w:sdtContent>
      </w:sdt>
      <w:r>
        <w:t xml:space="preserve"/>
      </w:r>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 xml:space="preserve">[2]</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 xml:space="preserve">[3]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 xml:space="preserve">[2]</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 xml:space="preserve">[3]</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 xml:space="preserve">[4]</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 xml:space="preserve">[5]</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 xml:space="preserve">[7]</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 xml:space="preserve">[8]</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 xml:space="preserve">[9]</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 xml:space="preserve">[4]</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 xml:space="preserve">[10]</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 xml:space="preserve">[11]</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 xml:space="preserve">[12]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 xml:space="preserve">[13]</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 xml:space="preserve">Three structural limits recur across these systems. First, a rule base, tactic menu, or optimization model fixes available orders before the incident, so the system only ranks what it is given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 xml:space="preserve">[10]</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 xml:space="preserve">[14]</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 xml:space="preserve">[15]</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 xml:space="preserve">[16]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 xml:space="preserve">[17]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 xml:space="preserve">[18]</w:t>
          </w:r>
          <w:r w:rsidR="00D31F60">
            <w:fldChar w:fldCharType="end"/>
          </w:r>
        </w:sdtContent>
      </w:sdt>
      <w:r w:rsidR="00D31F60">
        <w:t xml:space="preserve">. Second, uncertainty treatments require prior distributions or belief assignments that real-time sensing alone cannot supply, and the reasoning behind a recommendation may remain accessible only through post-hoc attribution.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 xml:space="preserve">[4]</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 xml:space="preserve">[10]</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bounded, compositional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 xml:space="preserve">[7]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 xml:space="preserve">[19]</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 xml:space="preserve">[4]</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 xml:space="preserve">[8]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 xml:space="preserve">[9]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 xml:space="preserve">[10]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 xml:space="preserve">[3]</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 xml:space="preserve">[20]</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 xml:space="preserve">[21]</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 xml:space="preserve">[22]</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 xml:space="preserve">[3]</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 xml:space="preserve">[18]</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w:t>
      </w:r>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 xml:space="preserve">[14]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 xml:space="preserve">[16]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 xml:space="preserve">[15]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 xml:space="preserve">[23]</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 xml:space="preserve">[18]</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 xml:space="preserve">[17]</w:t>
          </w:r>
          <w:r>
            <w:fldChar w:fldCharType="end"/>
          </w:r>
        </w:sdtContent>
      </w:sdt>
      <w:r>
        <w:t xml:space="preserve">, combines compatible modules,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 xml:space="preserve">[24]</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 xml:space="preserve">[25]</w:t>
          </w:r>
          <w:r>
            <w:fldChar w:fldCharType="end"/>
          </w:r>
        </w:sdtContent>
      </w:sdt>
      <w:r>
        <w:t xml:space="preserve">. These approaches compose known parts within a specified basis,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 xml:space="preserve">[26]</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 xml:space="preserve">[27]</w:t>
          </w:r>
          <w:r w:rsidR="00CB5F34">
            <w:fldChar w:fldCharType="end"/>
          </w:r>
        </w:sdtContent>
      </w:sdt>
      <w:r>
        <w:t xml:space="preserve">, keeping the evaluator 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 xml:space="preserve">[28]</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 xml:space="preserve">[29]</w:t>
          </w:r>
          <w:r>
            <w:fldChar w:fldCharType="end"/>
          </w:r>
        </w:sdtContent>
      </w:sdt>
      <w:r>
        <w:t xml:space="preserve">, where the model generates and an external critic accepts;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 xml:space="preserve">[30]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 xml:space="preserve">[31]</w:t>
          </w:r>
          <w:r>
            <w:fldChar w:fldCharType="end"/>
          </w:r>
        </w:sdtContent>
      </w:sdt>
      <w:r>
        <w:t xml:space="preserve"> also search a fixed vocabulary, but offline, whereas the search here runs during the incident on its forecasts. It is a receding-horizon, simulation-based optimization over a discrete grammar, run once per decision cycle; it differs from model predictive control in optimizing over composed objects that persist as rules rather than over a continuous input trajectory.</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 xml:space="preserve">[32]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 xml:space="preserve">[33]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 xml:space="preserve">[34]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 xml:space="preserve">[35]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 xml:space="preserve">[36]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 xml:space="preserve">[37]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 xml:space="preserve">[38]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with an external evaluator, from program search to reward design and embodied skill libraries, follow the same division of labor.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 xml:space="preserve">[39]</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w:t>
      </w:r>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χ</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 xml:space="preserve">[19]</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 xml:space="preserve">[40]</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 xml:space="preserve">[41]</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 xml:space="preserve">[42]</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w:t>
      </w:r>
      <w:sdt>
        <w:sdtPr>
          <w:id w:val="981952928"/>
          <w:citation/>
        </w:sdtPr>
        <w:sdtEndPr/>
        <w:sdtContent>
          <w:r>
            <w:fldChar w:fldCharType="begin"/>
          </w:r>
          <w:r>
            <w:instrText xml:space="preserve"> CITATION Finney06 \l 1033 </w:instrText>
          </w:r>
          <w:r>
            <w:fldChar w:fldCharType="separate"/>
          </w:r>
          <w:r w:rsidR="005401C1">
            <w:rPr>
              <w:noProof/>
            </w:rPr>
            <w:t xml:space="preserve">[7]</w:t>
          </w:r>
          <w:r>
            <w:fldChar w:fldCharType="end"/>
          </w:r>
        </w:sdtContent>
      </w:sdt>
      <w:r>
        <w:t xml:space="preserve">.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 xml:space="preserve">[6]</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χ</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w:t>
      </w:r>
      <w:sdt>
        <w:sdtPr>
          <w:id w:val="278538987"/>
          <w:citation/>
        </w:sdtPr>
        <w:sdtEndPr/>
        <w:sdtContent>
          <w:r>
            <w:fldChar w:fldCharType="begin"/>
          </w:r>
          <w:r>
            <w:instrText xml:space="preserve"> CITATION VanWagner87 \l 1033 </w:instrText>
          </w:r>
          <w:r>
            <w:fldChar w:fldCharType="separate"/>
          </w:r>
          <w:r w:rsidR="005401C1">
            <w:rPr>
              <w:noProof/>
            </w:rPr>
            <w:t xml:space="preserve">[43]</w:t>
          </w:r>
          <w:r>
            <w:fldChar w:fldCharType="end"/>
          </w:r>
        </w:sdtContent>
      </w:sdt>
      <w:r>
        <w:t xml:space="preserve"> and the operational priority method </w:t>
      </w:r>
      <w:sdt>
        <w:sdtPr>
          <w:id w:val="641725993"/>
          <w:citation/>
        </w:sdtPr>
        <w:sdtEndPr/>
        <w:sdtContent>
          <w:r>
            <w:fldChar w:fldCharType="begin"/>
          </w:r>
          <w:r>
            <w:instrText xml:space="preserve"> CITATION RodriguezSilva14 \l 1033 </w:instrText>
          </w:r>
          <w:r>
            <w:fldChar w:fldCharType="separate"/>
          </w:r>
          <w:r w:rsidR="005401C1">
            <w:rPr>
              <w:noProof/>
            </w:rPr>
            <w:t xml:space="preserve">[44]</w:t>
          </w:r>
          <w:r>
            <w:fldChar w:fldCharType="end"/>
          </w:r>
        </w:sdtContent>
      </w:sdt>
      <w:r>
        <w:t xml:space="preserve">,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ψ</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 xml:space="preserve">a</w:t>
            </w:r>
            <w:r>
              <w:t>)</w:t>
            </w:r>
          </w:p>
        </w:tc>
      </w:tr>
      <w:tr w:rsidR="003949BC" w14:paraId="3AE8D89B" w14:textId="77777777" w:rsidTr="00025AE1">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(13b)</w:t>
            </w:r>
          </w:p>
        </w:tc>
      </w:tr>
      <w:tr w:rsidR="003949BC" w14:paraId="3AE8D89B" w14:textId="77777777" w:rsidTr="00025AE1">
        <w:trPr>
          <w:cantSplit/>
          <w:jc w:val="center"/>
        </w:trPr>
        <w:tc>
          <w:tcPr>
            <w:tcW w:w="4500" w:type="pct"/>
            <w:vAlign w:val="center"/>
          </w:tcPr>
          <w:p>
            <w:pPr>
              <w:keepNext/>
              <w:jc w:val="center"/>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min</m:t>
                    </m:r>
                  </m:sub>
                </m:sSub>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(13c)</w:t>
            </w:r>
          </w:p>
        </w:tc>
      </w:tr>
      <w:tr w:rsidR="003949BC" w14:paraId="3AE8D89B" w14:textId="77777777" w:rsidTr="00025AE1">
        <w:trPr>
          <w:cantSplit/>
          <w:jc w:val="center"/>
        </w:trPr>
        <w:tc>
          <w:tcPr>
            <w:tcW w:w="4500" w:type="pct"/>
            <w:vAlign w:val="center"/>
          </w:tcPr>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 xml:space="preserve">(13d)</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μ</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 xml:space="preserve">a</w:t>
            </w:r>
            <w:r>
              <w:t>)</w:t>
            </w:r>
          </w:p>
        </w:tc>
      </w:tr>
      <w:tr w:rsidR="004F7DCA" w14:paraId="3618BEF6" w14:textId="77777777" w:rsidTr="002B2CE5">
        <w:trPr>
          <w:cantSplit/>
          <w:jc w:val="center"/>
        </w:trPr>
        <w:tc>
          <w:tcPr>
            <w:tcW w:w="4500" w:type="pct"/>
            <w:vAlign w:val="center"/>
          </w:tcPr>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(15b)</w:t>
            </w:r>
          </w:p>
        </w:tc>
      </w:tr>
      <w:tr w:rsidR="004F7DCA" w14:paraId="3618BEF6" w14:textId="77777777" w:rsidTr="002B2CE5">
        <w:trPr>
          <w:cantSplit/>
          <w:jc w:val="center"/>
        </w:trPr>
        <w:tc>
          <w:tcPr>
            <w:tcW w:w="4500" w:type="pct"/>
            <w:vAlign w:val="center"/>
          </w:tcPr>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 xml:space="preserve">(15c)</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 xml:space="preserve">[22]</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ζ</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 xml:space="preserve">a</w:t>
            </w:r>
            <w:r>
              <w:t>)</w:t>
            </w:r>
          </w:p>
        </w:tc>
      </w:tr>
      <w:tr w:rsidR="00FB6C00" w14:paraId="551C60C7" w14:textId="77777777" w:rsidTr="00CA6688">
        <w:trPr>
          <w:cantSplit/>
          <w:jc w:val="center"/>
        </w:trPr>
        <w:tc>
          <w:tcPr>
            <w:tcW w:w="4500" w:type="pct"/>
            <w:vAlign w:val="center"/>
          </w:tcPr>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ζ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(16b)</w:t>
            </w:r>
          </w:p>
        </w:tc>
      </w:tr>
      <w:tr w:rsidR="00FB6C00" w14:paraId="551C60C7" w14:textId="77777777" w:rsidTr="00CA6688">
        <w:trPr>
          <w:cantSplit/>
          <w:jc w:val="center"/>
        </w:trPr>
        <w:tc>
          <w:tcPr>
            <w:tcW w:w="4500" w:type="pct"/>
            <w:vAlign w:val="center"/>
          </w:tcPr>
          <w:p>
            <w:pPr>
              <w:keepNext/>
              <w:jc w:val="center"/>
            </w:pPr>
            <m:oMathPara>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(16c)</w:t>
            </w:r>
          </w:p>
        </w:tc>
      </w:tr>
      <w:tr w:rsidR="00FB6C00" w14:paraId="551C60C7" w14:textId="77777777" w:rsidTr="00CA6688">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(16d)</w:t>
            </w:r>
          </w:p>
        </w:tc>
      </w:tr>
      <w:tr w:rsidR="00FB6C00" w14:paraId="551C60C7" w14:textId="77777777" w:rsidTr="00CA6688">
        <w:trPr>
          <w:cantSplit/>
          <w:jc w:val="center"/>
        </w:trPr>
        <w:tc>
          <w:tcPr>
            <w:tcW w:w="4500" w:type="pct"/>
            <w:vAlign w:val="center"/>
          </w:tcPr>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(16e)</w:t>
            </w:r>
          </w:p>
        </w:tc>
      </w:tr>
      <w:tr w:rsidR="00FB6C00" w14:paraId="551C60C7" w14:textId="77777777" w:rsidTr="00CA6688">
        <w:trPr>
          <w:cantSplit/>
          <w:jc w:val="center"/>
        </w:trPr>
        <w:tc>
          <w:tcPr>
            <w:tcW w:w="4500" w:type="pct"/>
            <w:vAlign w:val="center"/>
          </w:tcPr>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 xml:space="preserve">(16f)</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placed beside the five base terms. The base terms keep their partition of unity and the other rules keep reading them, so their firing strengths do not change; only rules written on the inserted term read it.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ζ</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are the left corners of term </w:t>
      </w:r>
      <m:oMath>
        <m:r>
          <w:rPr>
            <w:rFonts w:ascii="Cambria Math" w:hAnsi="Cambria Math"/>
          </w:rPr>
          <m:t>t</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t</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ty m:val="p"/>
              </m:rPr>
              <w:rPr>
                <w:rFonts w:ascii="Cambria Math" w:hAnsi="Cambria Math"/>
              </w:rPr>
              <m:t>q</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E</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 xml:space="preserve">a</w:t>
            </w:r>
            <w:r>
              <w:t>)</w:t>
            </w:r>
          </w:p>
        </w:tc>
      </w:tr>
      <w:tr w:rsidR="00A9035B" w14:paraId="1617B8C9" w14:textId="77777777" w:rsidTr="00ED644E">
        <w:trPr>
          <w:cantSplit/>
          <w:jc w:val="center"/>
        </w:trPr>
        <w:tc>
          <w:tcPr>
            <w:tcW w:w="4500" w:type="pct"/>
            <w:vAlign w:val="center"/>
          </w:tcPr>
          <w:p>
            <w:pPr>
              <w:keepNext/>
              <w:jc w:val="center"/>
            </w:pPr>
            <m:oMathPara>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ϑ</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(18b)</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sSub>
                      <m:e>
                        <m:r>
                          <w:rPr>
                            <w:rFonts w:ascii="Cambria Math" w:hAnsi="Cambria Math"/>
                          </w:rPr>
                          <m:t>ϑ</m:t>
                        </m:r>
                      </m:e>
                      <m:sub>
                        <m:r>
                          <w:rPr>
                            <w:rFonts w:ascii="Cambria Math" w:hAnsi="Cambria Math"/>
                          </w:rPr>
                          <m:t>c</m:t>
                        </m:r>
                      </m:sub>
                    </m:sSub>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(18c)</w:t>
            </w:r>
          </w:p>
        </w:tc>
      </w:tr>
      <w:tr w:rsidR="00A9035B" w14:paraId="1617B8C9" w14:textId="77777777" w:rsidTr="00ED644E">
        <w:trPr>
          <w:cantSplit/>
          <w:jc w:val="center"/>
        </w:trPr>
        <w:tc>
          <w:tcPr>
            <w:tcW w:w="4500" w:type="pct"/>
            <w:vAlign w:val="center"/>
          </w:tcPr>
          <w:p>
            <w:pPr>
              <w:keepNext/>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 xml:space="preserve">(18d)</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ℓ</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ℓ</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ϑ</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 xml:space="preserve">The other effects use maxima over the existing fields on the same mask. Wet raises capacity to ϑ</w:t>
      </w:r>
      <w:r>
        <w:rPr>
          <w:vertAlign w:val="subscript"/>
        </w:rPr>
        <w:t xml:space="preserve">c</w:t>
      </w:r>
      <w:r>
        <w:t xml:space="preserve"> of its cap and availability to 0.3 + 0.7ϑ</w:t>
      </w:r>
      <w:r>
        <w:rPr>
          <w:vertAlign w:val="subscript"/>
        </w:rPr>
        <w:t xml:space="preserve">c</w:t>
      </w:r>
      <w:r>
        <w:t xml:space="preserve">. Clear sets the cut field and raises capacity to at least 0.8 of its cap. Ignite raises the ignition command to ϑ</w:t>
      </w:r>
      <w:r>
        <w:rPr>
          <w:vertAlign w:val="subscript"/>
        </w:rPr>
        <w:t xml:space="preserve">c</w:t>
      </w:r>
      <w:r>
        <w:t xml:space="preserve">; above 0.5, the core ignites a nonburning cell if fuel remains and moisture is below extinction, then advances its spread normally. Evacuate raises the evacuation field to ϑ</w:t>
      </w:r>
      <w:r>
        <w:rPr>
          <w:vertAlign w:val="subscript"/>
        </w:rPr>
        <w:t xml:space="preserve">c</w:t>
      </w:r>
      <w:r>
        <w:t xml:space="preserve">, and prime raises the warning field to ϑ</w:t>
      </w:r>
      <w:r>
        <w:rPr>
          <w:vertAlign w:val="subscript"/>
        </w:rPr>
        <w:t xml:space="preserve">c</w:t>
      </w:r>
      <w:r>
        <w:t xml:space="preserve">. These fixed physical effects support new compositions of interventions.</w:t>
      </w:r>
    </w:p>
    <w:p w14:paraId="77DA5E18" w14:textId="20451B71"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 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shadow futures that differ in their ember draws, require a strict gain; the two futures are close (Section V-A), so G6 guards against a candidate fitted to one ember path and not against state or model uncertainty.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E</m:t>
            </m:r>
          </m:sub>
        </m:sSub>
      </m:oMath>
      <w:r w:rsidR="00517F54">
        <w:t xml:space="preserve"> the rule carrying object </w:t>
      </w:r>
      <m:oMath>
        <m:r>
          <w:rPr>
            <w:rFonts w:ascii="Cambria Math" w:hAnsi="Cambria Math"/>
          </w:rPr>
          <m:t>E</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E</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 xml:space="preserve">a</w:t>
            </w:r>
            <w:r>
              <w:t>)</w:t>
            </w:r>
          </w:p>
        </w:tc>
      </w:tr>
      <w:tr w:rsidR="00F30F81" w14:paraId="209C4C85" w14:textId="77777777">
        <w:trPr>
          <w:cantSplit/>
          <w:jc w:val="center"/>
        </w:trPr>
        <w:tc>
          <w:tcPr>
            <w:tcW w:w="4500" w:type="pct"/>
            <w:vAlign w:val="center"/>
          </w:tcPr>
          <w:p>
            <w:pPr>
              <w:keepNext/>
              <w:jc w:val="center"/>
            </w:pPr>
            <m:oMathPara>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(19b)</w:t>
            </w:r>
          </w:p>
        </w:tc>
      </w:tr>
      <w:tr w:rsidR="00F30F81" w14:paraId="209C4C85" w14:textId="77777777">
        <w:trPr>
          <w:cantSplit/>
          <w:jc w:val="center"/>
        </w:trPr>
        <w:tc>
          <w:tcPr>
            <w:tcW w:w="4500" w:type="pct"/>
            <w:vAlign w:val="center"/>
          </w:tcPr>
          <w:p>
            <w:pPr>
              <w:keepNext/>
              <w:jc w:val="center"/>
            </w:pPr>
            <m:oMathPara>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E</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(19c)</w:t>
            </w:r>
          </w:p>
        </w:tc>
      </w:tr>
      <w:tr w:rsidR="00F30F81" w14:paraId="209C4C85" w14:textId="77777777">
        <w:trPr>
          <w:cantSplit/>
          <w:jc w:val="center"/>
        </w:trPr>
        <w:tc>
          <w:tcPr>
            <w:tcW w:w="4500" w:type="pct"/>
            <w:vAlign w:val="center"/>
          </w:tcPr>
          <w:p>
            <w:pPr>
              <w:keepNext/>
              <w:jc w:val="center"/>
            </w:pPr>
            <m:oMathPara>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 xml:space="preserve">(19d)</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t xml:space="preserve">Algorithm S1 in the Supplementary Material</w:t>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acc>
              <m:accPr>
                <m:chr m:val="̂"/>
              </m:accPr>
              <m:e>
                <m:r>
                  <w:rPr>
                    <w:rFonts w:ascii="Cambria Math" w:hAnsi="Cambria Math"/>
                  </w:rPr>
                  <m:t>c</m:t>
                </m:r>
              </m:e>
            </m:acc>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Γ</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 xml:space="preserve">a</w:t>
            </w:r>
            <w:r>
              <w:t>)</w:t>
            </w:r>
          </w:p>
        </w:tc>
      </w:tr>
      <w:tr w:rsidR="0043376C" w14:paraId="56A640FF" w14:textId="77777777" w:rsidTr="00FE5410">
        <w:trPr>
          <w:cantSplit/>
          <w:jc w:val="center"/>
        </w:trPr>
        <w:tc>
          <w:tcPr>
            <w:tcW w:w="4500" w:type="pct"/>
            <w:vAlign w:val="center"/>
          </w:tcPr>
          <w:p>
            <w:pPr>
              <w:keepNext/>
              <w:jc w:val="cente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(21b)</w:t>
            </w:r>
          </w:p>
        </w:tc>
      </w:tr>
      <w:tr w:rsidR="0043376C" w14:paraId="56A640FF" w14:textId="77777777" w:rsidTr="00FE5410">
        <w:trPr>
          <w:cantSplit/>
          <w:jc w:val="center"/>
        </w:trPr>
        <w:tc>
          <w:tcPr>
            <w:tcW w:w="4500" w:type="pct"/>
            <w:vAlign w:val="center"/>
          </w:tcPr>
          <w:p>
            <w:pPr>
              <w:keepNext/>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 xml:space="preserve">(21c)</w:t>
            </w:r>
          </w:p>
        </w:tc>
      </w:tr>
    </w:tbl>
    <w:p w14:paraId="43185AAB" w14:textId="77777777" w:rsidR="0043376C" w:rsidRPr="001D185A" w:rsidRDefault="0043376C" w:rsidP="007B7A52">
      <w:pPr>
        <w:pStyle w:val="Text"/>
        <w:rPr>
          <w:sz w:val="14"/>
          <w:szCs w:val="14"/>
        </w:rPr>
      </w:pPr>
    </w:p>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t xml:space="preserve">Table S8 in the Supplementary Material</w:t>
      </w:r>
      <w:r>
        <w:t xml:space="preserve"> lists the controls and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S7 removes. In S5 the confidence of every reading, selected for corruption or not, is multiplied by 0.8, so the closed layer knows the outage rate but not which readings are corrupted.</w:t>
      </w:r>
    </w:p>
    <w:p w14:paraId="09B60A2D" w14:textId="1917FC1F" w:rsidR="003E3FD9" w:rsidRDefault="00284E68" w:rsidP="00C83E79">
      <w:pPr>
        <w:pStyle w:val="TableTitle"/>
        <w:keepNext/>
        <w:spacing w:before="120"/>
      </w:pPr>
      <w:bookmarkStart w:id="51" w:name="_RefTab_scen"/>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w:t>
      </w:r>
      <w:r w:rsidR="00D31F60">
        <w:rPr>
          <w:noProof/>
        </w:rPr>
        <w:fldChar w:fldCharType="end"/>
      </w:r>
      <w:bookmarkEnd w:id="51"/>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the admission logs and the six candidates returned by every model call are available online; the prompt of a call is reconstructed from the template in the Supplementary Material and the logged brief</w:t>
      </w:r>
      <w:r>
        <w:rPr>
          <w:rStyle w:val="FootnoteReference"/>
        </w:rPr>
        <w:footnoteReference w:id="2"/>
      </w:r>
      <w:r>
        <w:t xml:space="preserve">. Hosted language models change across versions </w:t>
      </w:r>
      <w:sdt>
        <w:sdtPr>
          <w:id w:val="1496016853"/>
          <w:citation/>
        </w:sdtPr>
        <w:sdtEndPr/>
        <w:sdtContent>
          <w:r>
            <w:fldChar w:fldCharType="begin"/>
          </w:r>
          <w:r>
            <w:instrText xml:space="preserve"> CITATION Chen24 \l 1033 </w:instrText>
          </w:r>
          <w:r>
            <w:fldChar w:fldCharType="separate"/>
          </w:r>
          <w:r w:rsidR="005401C1">
            <w:rPr>
              <w:noProof/>
            </w:rPr>
            <w:t xml:space="preserve">[45]</w:t>
          </w:r>
          <w:r>
            <w:fldChar w:fldCharType="end"/>
          </w:r>
        </w:sdtContent>
      </w:sdt>
      <w:r>
        <w:t xml:space="preserve">, so the model name is recorded and the repeat run reports the run-to-run change. </w:t>
      </w:r>
      <w:r>
        <w:t xml:space="preserve">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Table S8 in the Supplementary Material lists the controls; each keeps the worlds and gates of GODA and changes one thing. Shadow streams are separate from the world seeds. The two streams differ in the ember draws only: over the 364 final tests the forecast costs of the two futures differ by a median 0.2% of the baseline cost, and the gains on the two futures agree in sign for 99% of the candidates, so the second future guards against a candidate fitted to one ember path and not against state or model uncertainty, which the independent-future, model-error and situation-picture tests address.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The cost-function test replays the admitted objects under four changed cost functions and reruns live generation under one of them, the reference burned fraction 0.25. Each setting has its own paired Closed reference. The six hand-written tactics of Table III, written from initial-attack practice over the seven effects, extend the five seeds as rules of the doctrine that fire on their antecedents and place their clauses by sector and band, so this control is a fixed library with the full effect repertoire from the first cycle. A tuned variant chooses the band and amount of each tactic among six variants by the one-future forecast, six forecasts per tactic, the first time the tactic fires.</w:t>
      </w:r>
      <w:r>
        <w:fldChar w:fldCharType="begin"/>
      </w:r>
      <w:r>
        <w:instrText xml:space="preserve"> REF _RefTab_expert \h </w:instrText>
      </w:r>
      <w:r>
        <w:fldChar w:fldCharType="separate"/>
      </w:r>
      <w:r>
        <w:t xml:space="preserve"/>
      </w:r>
      <w:r>
        <w:fldChar w:fldCharType="end"/>
      </w:r>
      <w:r>
        <w:t xml:space="preserve"/>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One family of 57 aggregate comparisons, the main comparison and every row of Tables VI, VII and S7, so that no reported comparison is left outside it, is tested with a two-sided paired sign-flip test on one million random sign assignments and the Holm adjustment; the main comparison gives p &lt; 0.0001. The median per-world change is −21 ha in burned area, −49% of the Closed area of the world, and −0.041 in total cost, −36%. The 150 worlds are five families of 30 seeds, and a mixed-effects model of the paired difference with a random intercept per family gives −46 ha (standard error 18, p = 0.010) for burned area and −0.079 (standard error 0.023, p &lt; 0.001) for total cost, so the conclusion does not rest on treating the worlds as independent. The rows of Tables VI, VII and S7 carry unadjusted 95% intervals; the last column of each gives the Holm-adjusted p, under which 52 rows stay below 0.05, the exceptions being the two single random-candidate controls, the persistence ablation, the forecast-tuned hand-written tactics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w:t>
      </w:r>
      <w:sdt>
        <w:sdtPr>
          <w:id w:val="1452809620"/>
          <w:citation/>
        </w:sdtPr>
        <w:sdtEndPr/>
        <w:sdtContent>
          <w:r>
            <w:fldChar w:fldCharType="begin"/>
          </w:r>
          <w:r>
            <w:instrText xml:space="preserve"> CITATION Pais212 \l 1033 </w:instrText>
          </w:r>
          <w:r>
            <w:fldChar w:fldCharType="separate"/>
          </w:r>
          <w:r w:rsidR="005401C1">
            <w:rPr>
              <w:noProof/>
            </w:rPr>
            <w:t xml:space="preserve">[19]</w:t>
          </w:r>
          <w:r>
            <w:fldChar w:fldCharType="end"/>
          </w:r>
        </w:sdtContent>
      </w:sdt>
      <w:r>
        <w:t xml:space="preserve">.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Under the three model errors combined (Section V-C, below) the same comparison runs from 82.3 to 57.4 ha, a reduction of 30%, with 65% of incidents extinguished against 55%, and Table V carries that row beside the nominal one. The lower block of Table V gives, each against its own Closed reference, the evolutionary search over the closed vocabulary (42.9 ha, the reference for what the composed grammar adds), coating held to the reach and charge of the ground effects (36.0 ha), the replay without the ignite-bearing objects (34.3 ha) and the larger domain (134 ha against 309). Response cost also falls by 46%, so resource expansion does not explain the gain. Four changed cost functions, replayed and in one case rerun live, leave the area result unchanged and narrow the total-cost margin at most from 48% to 31% (Supplementary Material).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w:t>
      </w:r>
      <w:r>
        <w:rPr>
          <w:noProof/>
        </w:rPr>
        <w:fldChar w:fldCharType="end"/>
      </w:r>
      <w:bookmarkEnd w:id="59"/>
    </w:p>
    <w:p w14:paraId="21638B9C" w14:textId="77777777" w:rsidR="00CB2143" w:rsidRDefault="00CB2143" w:rsidP="00CB2143">
      <w:pPr>
        <w:pStyle w:val="TableTitle"/>
        <w:keepNext/>
        <w:spacing w:after="60"/>
      </w:pPr>
      <w:r>
        <w:t xml:space="preserve">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i/>
              </w:rPr>
              <w:t xml:space="preserve">Other configurations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i/>
              </w:rPr>
              <w:t xml:space="preserve">Own Closed reference</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i/>
              </w:rPr>
              <w:t xml:space="preserve">Configuration named</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combined model error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82.3 ± 12.2</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57.4 ± 12.3</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Evolutionary search, families only</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42.9 ± 9.6</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Coating reach-limited and charged</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77.8 ± 12.3</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36.0 ± 8.6</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Ignite objects withheld, replay</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34.3 ± 8.7</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3.6 × 2.7 km domain, 30 worlds</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309 ± 104</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134 ± 85</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 xml:space="preserve">Table VI groups the source, search and gate comparisons; Table S7 in the Supplementary Material holds the model-error and operating-limit rows.</w:t>
      </w:r>
      <w:r>
        <w:fldChar w:fldCharType="end"/>
      </w:r>
      <w:r>
        <w:t xml:space="preserve">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 at that budget a population of 6 over five generations and one of 18 over one generation reach 46 ± 11% each, so its setting is not what holds it there.</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An evolutionary search restricted to the same six families, the receding-horizon optimization baseline over the closed vocabulary, reaches 43 ± 11% with 82% of incidents extinguished, within 4 ± 11% of the random closed-vocabulary search; paired directly, GODA lowers area by a further 32 ± 16% and total cost by 25 ± 10% against it, better in 99 worlds and worse in 38 (p &lt; 0.0001, below the family-wise threshold), so a stronger optimizer over the closed vocabulary does not close the gap, and the composed grammar, not the lookahead alone, carries the difference. Random seeds with the variation operator reach 34 ± 9%, below fresh sampling, so variations need good seeds. Seeding the same search with the hand-written tactics of Table III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and by 28 ± 17% and 29 ± 19% against its two other settings; the corresponding margin over the random full search is 28 ± 20% (p = 0.004), and over the closed-vocabulary search 35 ± 17% (p &lt; 0.0001). Of these, only the last survives the family-wise correction, as does the margin over the evolutionary search restricted to the six families,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since the two standard futures are close, independent futures are the setting recommended for deployment; the main campaign keeps the standard futures so that its rows remain comparable.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an admitted object must stay in force through the incident; the withdrawal ends its order and its reuse together, and this test does not separate the two.</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4C499829" w14:textId="77777777" w:rsidR="00CB2143" w:rsidRDefault="00CB2143" w:rsidP="00CB2143">
      <w:pPr>
        <w:pStyle w:val="TableTitle"/>
        <w:keepNext/>
        <w:spacing w:after="60"/>
      </w:pPr>
      <w:r>
        <w:t xml:space="preserve">Search and gate comparisons (unadjusted 95% half-widths; p Holm-adjusted over the family of 57)</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0.17</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 xml:space="preserve">0.17</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 xml:space="preserve">Evolutionary search, families only</w:t>
            </w:r>
          </w:p>
        </w:tc>
        <w:tc>
          <w:tcPr>
            <w:tcW w:w="1100" w:type="dxa"/>
          </w:tcPr>
          <w:p w14:paraId="0F493BA2" w14:textId="77777777" w:rsidR="00CB2143" w:rsidRDefault="00CB2143" w:rsidP="00074B69">
            <w:pPr>
              <w:keepNext/>
              <w:spacing w:line="220" w:lineRule="auto"/>
              <w:jc w:val="center"/>
            </w:pPr>
            <w:r>
              <w:rPr>
                <w:sz w:val="18"/>
              </w:rPr>
              <w:t xml:space="preserve">−43 ± 11</w:t>
            </w:r>
          </w:p>
        </w:tc>
        <w:tc>
          <w:tcPr>
            <w:tcW w:w="1100" w:type="dxa"/>
          </w:tcPr>
          <w:p w14:paraId="07817279" w14:textId="77777777" w:rsidR="00CB2143" w:rsidRDefault="00CB2143" w:rsidP="00074B69">
            <w:pPr>
              <w:keepNext/>
              <w:spacing w:line="220" w:lineRule="auto"/>
              <w:jc w:val="center"/>
            </w:pPr>
            <w:r>
              <w:rPr>
                <w:sz w:val="18"/>
              </w:rPr>
              <w:t xml:space="preserve">−31 ± 7</w:t>
            </w:r>
          </w:p>
        </w:tc>
        <w:tc>
          <w:tcPr>
            <w:tcW w:w="1053" w:type="dxa"/>
          </w:tcPr>
          <w:p w14:paraId="0C113D6A" w14:textId="77777777" w:rsidR="00CB2143" w:rsidRDefault="00CB2143" w:rsidP="00074B69">
            <w:pPr>
              <w:keepNext/>
              <w:spacing w:line="220" w:lineRule="auto"/>
              <w:jc w:val="center"/>
            </w:pPr>
            <w:r>
              <w:rPr>
                <w:sz w:val="18"/>
              </w:rPr>
              <w:t xml:space="preserve">&lt;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 12 × 3</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6 × 5</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 xml:space="preserve">Evolutionary search, 18 × 1</w:t>
            </w:r>
          </w:p>
        </w:tc>
        <w:tc>
          <w:tcPr>
            <w:tcW w:w="1100" w:type="dxa"/>
          </w:tcPr>
          <w:p w14:paraId="066534CC" w14:textId="77777777" w:rsidR="00CB2143" w:rsidRDefault="00CB2143" w:rsidP="00074B69">
            <w:pPr>
              <w:keepNext/>
              <w:spacing w:line="220" w:lineRule="auto"/>
              <w:jc w:val="center"/>
            </w:pPr>
            <w:r>
              <w:rPr>
                <w:sz w:val="18"/>
              </w:rPr>
              <w:t xml:space="preserve">−46 ± 11</w:t>
            </w:r>
          </w:p>
        </w:tc>
        <w:tc>
          <w:tcPr>
            <w:tcW w:w="1100" w:type="dxa"/>
          </w:tcPr>
          <w:p w14:paraId="73A73486" w14:textId="77777777" w:rsidR="00CB2143" w:rsidRDefault="00CB2143" w:rsidP="00074B69">
            <w:pPr>
              <w:keepNext/>
              <w:spacing w:line="220" w:lineRule="auto"/>
              <w:jc w:val="center"/>
            </w:pPr>
            <w:r>
              <w:rPr>
                <w:sz w:val="18"/>
              </w:rPr>
              <w:t xml:space="preserve">−36 ± 8</w:t>
            </w:r>
          </w:p>
        </w:tc>
        <w:tc>
          <w:tcPr>
            <w:tcW w:w="1053" w:type="dxa"/>
          </w:tcPr>
          <w:p w14:paraId="7096DE48" w14:textId="77777777" w:rsidR="00CB2143" w:rsidRDefault="00CB2143" w:rsidP="00074B69">
            <w:pPr>
              <w:keepNext/>
              <w:spacing w:line="220" w:lineRule="auto"/>
              <w:jc w:val="center"/>
            </w:pPr>
            <w:r>
              <w:rPr>
                <w:sz w:val="18"/>
              </w:rPr>
              <w:t xml:space="preserve">&lt;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0.82</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Table S7 in the Supplementary Material lists the model-error and operating-limit rows. 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w:t>
      </w:r>
      <w:sdt>
        <w:sdtPr>
          <w:id w:val="1561982677"/>
          <w:citation/>
        </w:sdtPr>
        <w:sdtEndPr/>
        <w:sdtContent>
          <w:r>
            <w:fldChar w:fldCharType="begin"/>
          </w:r>
          <w:r>
            <w:instrText xml:space="preserve"> CITATION Plucinski19 \l 1033 </w:instrText>
          </w:r>
          <w:r>
            <w:fldChar w:fldCharType="separate"/>
          </w:r>
          <w:r w:rsidR="005401C1">
            <w:rPr>
              <w:noProof/>
            </w:rPr>
            <w:t xml:space="preserve">[41]</w:t>
          </w:r>
          <w:r>
            <w:fldChar w:fldCharType="end"/>
          </w:r>
        </w:sdtContent>
      </w:sdt>
      <w:r>
        <w:t xml:space="preserve">, and across them the advantage runs from 33% to 61%. A replay sweep of the coating effectiveness, the burning reduction and the moisture floor scaled together to 0.75, 0.5, 0.25 and 0 of their nominal values, retains 55, 46, 31 and 31% against Closed, within two points whether the planner keeps the nominal coating or shares the weaker one; the gain falls with the assumed effectiveness to a floor near 30% carried by the other effects, and the two lowest levels coincide because below half effectiveness a coated cell no longer stops spread. The other settings move one or three parameters at a time; within them the ordering against Closed is unchanged in every row of Table S7,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III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Tuning those tactics on forecasts does not help: with the band and amount of each tactic chosen among six variants by the same one-future forecast that prices every search candidate, the tuned doctrine reduces area by 6 ± 7%, within 3 ± 6% of the tactics as written; in 74% of the choices no variant changes the 45 min forecast and the tactic stays as written, so the forecast has nothing to tune in a hand-written tactic. What the search finds is not better parameters for known tactics but compositions that the tactics do not contain.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57)</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 xml:space="preserve">0.035</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 xml:space="preserve">0.0067</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 xml:space="preserve">Seeds + six hand-written tactics tuned on forecasts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 xml:space="preserve">150</w:t>
            </w:r>
          </w:p>
        </w:tc>
        <w:tc>
          <w:tcPr>
            <w:tcW w:w="760" w:type="dxa"/>
            <w:vAlign w:val="center"/>
          </w:tcPr>
          <w:p w14:paraId="5CEC8D0C" w14:textId="77777777" w:rsidR="00284E68" w:rsidRDefault="00284E68" w:rsidP="00652ECC">
            <w:pPr>
              <w:keepNext/>
              <w:spacing w:line="220" w:lineRule="auto"/>
              <w:jc w:val="center"/>
            </w:pPr>
            <w:r>
              <w:rPr>
                <w:sz w:val="18"/>
              </w:rPr>
              <w:t xml:space="preserve">−6 ± 7</w:t>
            </w:r>
          </w:p>
        </w:tc>
        <w:tc>
          <w:tcPr>
            <w:tcW w:w="780" w:type="dxa"/>
            <w:vAlign w:val="center"/>
          </w:tcPr>
          <w:p w14:paraId="79EBE2CB" w14:textId="77777777" w:rsidR="00284E68" w:rsidRDefault="00284E68" w:rsidP="00652ECC">
            <w:pPr>
              <w:keepNext/>
              <w:spacing w:line="220" w:lineRule="auto"/>
              <w:jc w:val="center"/>
            </w:pPr>
            <w:r>
              <w:rPr>
                <w:sz w:val="18"/>
              </w:rPr>
              <w:t xml:space="preserve">−2 ± 6</w:t>
            </w:r>
          </w:p>
        </w:tc>
        <w:tc>
          <w:tcPr>
            <w:tcW w:w="800" w:type="dxa"/>
            <w:vAlign w:val="center"/>
          </w:tcPr>
          <w:p w14:paraId="696872FD" w14:textId="77777777" w:rsidR="00284E68" w:rsidRDefault="00284E68" w:rsidP="00652ECC">
            <w:pPr>
              <w:keepNext/>
              <w:spacing w:line="220" w:lineRule="auto"/>
              <w:jc w:val="center"/>
            </w:pPr>
            <w:r>
              <w:rPr>
                <w:sz w:val="18"/>
              </w:rPr>
              <w:t xml:space="preserve">0.36</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 xml:space="preserve">0.89</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 xml:space="preserve">&lt;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 xml:space="preserve">0.0010</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0.0042</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Pr>
          <w:sz w:val="18"/>
        </w:rPr>
        <w:t xml:space="preserve">Fig. S1 in the Supplementary Material</w:t>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and by 30% under three model errors combined,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and an evolutionary search over that vocabulary 70%; the latter, the strongest closed-vocabulary optimizer tested, and not the reactive closed layer, is the reference for what the composed grammar adds, a margin of 32 ± 16% that survives the correction. A random proposer over the composed grammar recovers three quarters, and the model candidates with their variations the rest, with the largest share in the hardest family; of the margins among the gated searches, only those over the two closed-vocabulary searches survive the family-wise correction, and the share of the model candidates appears at the full budget only. The gain therefore rests on the gated search over the effect grammar more than on the proposer. Three further results bound it: the verification gates G6 to G8 add little to the mean gain and bound the harmful admissions; admitted objects must stay in force through the incident, since withdrawing each after one cycle, which ends its order and its reuse together, leaves no gain; and about two thirds of the gain travels with coating-bearing objects, which keep most of it when coating is priced and reach-limited, while the gain falls with the assumed coating effectiveness to a floor near 30% at zero effect.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and tuning those tactics on forecasts does not improve them as doctrine.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hazard model, the decision core and the doctrine record are evaluated, the regional agents for cost and scaling only, and the operator interface, distributed operation and data assimilation are design. The language model is a hosted service with closed weights, undisclosed sampling and version drift, and its computation is not counted in the equal-budget comparison; since its margin over the random proposer is not established after correction, the configuration with the random proposer, which needs no model call, is the recommended default where a model is unavailable or its cost is not justified, and the model is an optional candidate source.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S7 are the only test of such orders under a wrong model. An ignite clause is admitted on the forecast alone; no wind, anchor or crew-distance condition is checked, so in a deployment such clauses should be disabled by default or pass an additional gate that encodes the burnout rules of the agency. The effect-removal replay bounds what they contribute: withholding every ignite-bearing object costs 3 points of the 58% replayed gain. Two further limits bound the claims: the effect operators are modelling assumptions, bounded by the coating settings of Table S7 rather than calibrated on observed operations; and the hand-written tactics of Table III were written once, and tuning their bands and amounts on forecasts did not improve them, so their margin measures that doctrine, not the best an expert could write.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w:t>
      </w:r>
      <w:sdt>
        <w:sdtPr>
          <w:id w:val="1496016853"/>
          <w:citation/>
        </w:sdtPr>
        <w:sdtEndPr/>
        <w:sdtContent>
          <w:r>
            <w:fldChar w:fldCharType="begin"/>
          </w:r>
          <w:r>
            <w:instrText xml:space="preserve"> CITATION Akman26 \l 1033 </w:instrText>
          </w:r>
          <w:r>
            <w:fldChar w:fldCharType="separate"/>
          </w:r>
          <w:r w:rsidR="005401C1">
            <w:rPr>
              <w:noProof/>
            </w:rPr>
            <w:t xml:space="preserve">[46]</w:t>
          </w:r>
          <w:r>
            <w:fldChar w:fldCharType="end"/>
          </w:r>
        </w:sdtContent>
      </w:sdt>
      <w:r>
        <w:t xml:space="preserve">.</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[2]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[3]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[4]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[5]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[6]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[7]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[8]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[9]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[10]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[11]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[12]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[13]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[14]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[15]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[16]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[17]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[18]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[19]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[20]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[21]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[22]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[23]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[24]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[25]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[26]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[27]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[28]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[29]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[30]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[31]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[32]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[33]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[34]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[35]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[36]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[37]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[38]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[39]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[40]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[41]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[42]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[43]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[44]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[45]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[46]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