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 xml:space="preserve">October 31,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self-tuning Takagi-Sugeno rule base forms the closed layer; in the open layer a pretrained language model proposes rules and composed interventions, and a chain of gates on shadow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and affected population by 80% against the closed layer, and raises extinguished incidents from 52% to 91%; on a domain three times larger the area reduction is 57%. Three controls locate the gain: a forecast-guided search over the closed vocabulary recovers two thirds of it, a random proposer over the composed grammar three quarters, and a hand-written doctrine over the same effects gains little, so the gain rests on the gated search over the effect grammar more than on the proposer. The same search with every admitted object withdrawn after one cycle loses the gain entirely, so the objects must stay in force through the incident. The admitted interventions, recorded as rules, keep most of the gain on held-out worlds. The gain holds under single and combined model errors, a fire state partly unseen by the planner and alternative cost functions, and every comparison row of the robustness and doctrine tables carries a paired test with a Holm adjustment. The hazard model is assessed separately by hindcast of four recorded fires.</w:t>
      </w:r>
    </w:p>
    <w:p w14:paraId="35BD7740" w14:textId="73221C65" w:rsidR="00173833" w:rsidRPr="0039420F" w:rsidRDefault="00380847">
      <w:pPr>
        <w:spacing w:after="150"/>
        <w:jc w:val="both"/>
        <w:rPr>
          <w:lang w:val="en-US"/>
        </w:rPr>
      </w:pPr>
      <w:r>
        <w:rPr>
          <w:lang w:val="en-US"/>
        </w:rPr>
        <w:t xml:space="preserve">The work fits the scope of the IEEE Systems Journal as a decision architecture that couples a hazard model, regional decision agents, a shared resource pool and an operator, evaluated in simulation as one system; distributed operation is outside the scope of this study.</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Both authors approved the submitted version and declare no competing interests. Part of the material derives from the doctoral research of the corresponding author at Middle East Technical University. A supplementary file gives the rule base, the constants of the simulation core and the search, and the proposer prompt; code, worlds and logs are available at https://github.com/northwind13/GODA.</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Akman</w:t>
      </w:r>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Türkiye</w:t>
      </w:r>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Leblebicioğlu</w:t>
      </w:r>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