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 xml:space="preserve">Abstract—Wildfire decision support systems (DSSs) mostly decide inside a closed decision space, a set of rules fixed before the incident. This work presents the Gated Open Decision Architecture (GODA), built around a forecast-guided search: an executable grammar composes new interventions from a fixed set of physical effects, so the space is bounded and compositional; a chain of gates admits a candidate only when the hazard model, not the proposer, forecasts a gain on reseeded futures; and a doctrine record keeps every admitted object in force as a rule. The closed layer is a self-tuning Takagi-Sugeno rule base; in the open layer a pretrained language model proposes candidates. On 150 paired simulated incidents GODA lowers burned area by 61% against the closed layer and raises extinguished incidents from 52% to 91%; under three model errors combined the reduction is 30%, and it holds on a domain three times larger. Equal-budget controls locate the gain: a search over the closed vocabulary reaches two thirds of it and a random proposer three quarters, a hand-written doctrine over the same effects gains little, and withdrawing each admitted object after one cycle removes the gain. The gain therefore rests on the gated search over the effect grammar and on admitted objects that stay in force through the incident, not on the proposer. Recorded as rules, the admitted interventions keep most of the gain on held-out synthetic worlds. The hazard model is assessed by hindcast of four recorded fires; the effect operators are assumptions bounded by sensitivity tests, not calibrated on operations.</w:t>
      </w:r>
      <w:r w:rsidRPr="00A42D35">
        <w:rPr>
          <w:b/>
          <w:bCs/>
          <w:sz w:val="18"/>
          <w:szCs w:val="18"/>
        </w:rPr>
        <w:t xml:space="preserve"/>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bounded open decision space, compositional interventions,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[3]</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[8]</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[9]</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[10]</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[5]</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[11]</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[12]</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[15]</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[16]</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899999951"/>
          <w:citation/>
        </w:sdtPr>
        <w:sdtEndPr/>
        <w:sdtContent>
          <w:r w:rsidR="00D31F60">
            <w:fldChar w:fldCharType="begin"/>
          </w:r>
          <w:r w:rsidR="00D31F60">
            <w:instrText xml:space="preserve"> CITATION Morgan90 \l 1033 </w:instrText>
          </w:r>
          <w:r w:rsidR="00D31F60">
            <w:fldChar w:fldCharType="separate"/>
          </w:r>
          <w:r w:rsidR="005401C1">
            <w:rPr>
              <w:noProof/>
            </w:rPr>
            <w:t>[20]</w:t>
          </w:r>
          <w:r w:rsidR="00D31F60">
            <w:fldChar w:fldCharType="end"/>
          </w:r>
        </w:sdtContent>
      </w:sdt>
      <w:r>
        <w:t xml:space="preserve">, </w:t>
      </w:r>
      <w:sdt>
        <w:sdtPr>
          <w:id w:val="-1899999950"/>
          <w:citation/>
        </w:sdtPr>
        <w:sdtEndPr/>
        <w:sdtContent>
          <w:r w:rsidR="00D31F60">
            <w:fldChar w:fldCharType="begin"/>
          </w:r>
          <w:r w:rsidR="00D31F60">
            <w:instrText xml:space="preserve"> CITATION Shafer76 \l 1033 </w:instrText>
          </w:r>
          <w:r w:rsidR="00D31F60">
            <w:fldChar w:fldCharType="separate"/>
          </w:r>
          <w:r w:rsidR="005401C1">
            <w:rPr>
              <w:noProof/>
            </w:rPr>
            <w:t>[21]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[5]</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bounded, compositional open decision space. What opens is the doctrine and the intervention repertoire during the incident; the effect basis, sectors, bands and composition length are fixed, so the openness is compositional over a fixed physical basis, not free-form.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[5]</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[4]</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[30]</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w:t>
      </w:r>
      <w:r>
        <w:t xml:space="preserve">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[39]</w:t>
          </w:r>
          <w:r>
            <w:fldChar w:fldCharType="end"/>
          </w:r>
        </w:sdtContent>
      </w:sdt>
      <w:r>
        <w:t xml:space="preserve">, </w:t>
      </w:r>
      <w:sdt>
        <w:sdtPr>
          <w:id w:val="-1899999915"/>
          <w:citation/>
        </w:sdtPr>
        <w:sdtEndPr/>
        <w:sdtContent>
          <w:r>
            <w:fldChar w:fldCharType="begin"/>
          </w:r>
          <w:r>
            <w:instrText xml:space="preserve"> CITATION Haight07 \l 1033 </w:instrText>
          </w:r>
          <w:r>
            <w:fldChar w:fldCharType="separate"/>
          </w:r>
          <w:r>
            <w:rPr>
              <w:noProof/>
            </w:rPr>
            <w:t>[40]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χ</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χ</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4A5C12C6" w14:textId="77777777" w:rsidR="003949BC" w:rsidRPr="002902FB" w:rsidRDefault="00B525C8"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ζ</m:t>
                    </m:r>
                  </m:e>
                </m:d>
              </m:oMath>
            </m:oMathPara>
          </w:p>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ζ </m:t>
                </m:r>
              </m:oMath>
            </m:oMathPara>
          </w:p>
          <w:p w14:paraId="197F9AD0"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placed beside the five base terms. The base terms keep their partition of unity and the other rules keep reading them, so their firing strengths do not change; only rules written on the inserted term read it.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ζ</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ty m:val="p"/>
              </m:rPr>
              <w:rPr>
                <w:rFonts w:ascii="Cambria Math" w:hAnsi="Cambria Math"/>
              </w:rPr>
              <m:t>q</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14:paraId="6D8216EC"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ℓ</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ℓ</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 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shadow futures that differ in their ember draws, require a strict gain; the two futures are close (Section V-A), so G6 guards against a candidate fitted to one ember path and not against state or model uncertainty.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517F54">
        <w:t xml:space="preserve"> the rule carrying object </w:t>
      </w:r>
      <m:oMath>
        <m:r>
          <w:rPr>
            <w:rFonts w:ascii="Cambria Math" w:hAnsi="Cambria Math"/>
          </w:rPr>
          <m:t>A</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A</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14:paraId="0F58C990" w14:textId="77777777" w:rsidR="00F30F81" w:rsidRDefault="00D31F60" w:rsidP="00D059CA">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t xml:space="preserve">Algorithm S1 in the Supplementary Material</w:t>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14:paraId="21B36922"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w:t>
            </w:r>
          </w:p>
        </w:tc>
      </w:tr>
    </w:tbl>
    <w:p w14:paraId="43185AAB" w14:textId="77777777" w:rsidR="0043376C" w:rsidRPr="001D185A" w:rsidRDefault="0043376C" w:rsidP="007B7A52">
      <w:pPr>
        <w:pStyle w:val="Text"/>
        <w:rPr>
          <w:sz w:val="14"/>
          <w:szCs w:val="14"/>
        </w:rPr>
      </w:pPr>
    </w:p>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Table III</w:t>
      </w:r>
      <w:r>
        <w:fldChar w:fldCharType="end"/>
      </w:r>
      <w:r>
        <w:t xml:space="preserve"> lists the controls and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shadow forecasts step at 5 min, so the two horizons are 5 and 9 shadow steps.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S7 removes. In S5 the confidence of every reading, selected for corruption or not, is multiplied by 0.8, so the closed layer knows the outage rate but not which readings are corrupted.</w:t>
      </w:r>
    </w:p>
    <w:p w14:paraId="702EF6AA" w14:textId="77777777" w:rsidR="00AA18C8" w:rsidRDefault="00AA18C8" w:rsidP="00AA18C8">
      <w:pPr>
        <w:pStyle w:val="TableTitle"/>
        <w:keepNext/>
        <w:spacing w:before="120"/>
      </w:pPr>
      <w:bookmarkStart w:id="50"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0"/>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the admission logs and the six candidates returned by every model call are available online; the prompt of a call is reconstructed from the template in the Supplementary Material and the logged brief</w:t>
      </w:r>
      <w:r>
        <w:rPr>
          <w:rStyle w:val="FootnoteReference"/>
        </w:rPr>
        <w:footnoteReference w:id="2"/>
      </w:r>
      <w:r>
        <w:t xml:space="preserve">. The behavior of hosted language models drifts across versions [60], so the model name is recorded and the repeat run reports the run-to-run change. </w:t>
      </w:r>
      <w:sdt>
        <w:sdtPr>
          <w:id w:val="-314533478"/>
          <w:citation/>
        </w:sdtPr>
        <w:sdtEndPr/>
        <w:sdtContent>
          <w:r>
            <w:fldChar w:fldCharType="begin"/>
          </w:r>
          <w:r>
            <w:instrText xml:space="preserve"> CITATION Chen24 \l 1033 </w:instrText>
          </w:r>
          <w:r>
            <w:fldChar w:fldCharType="separate"/>
          </w:r>
          <w:r>
            <w:rPr>
              <w:noProof/>
            </w:rPr>
            <w:t xml:space="preserve"/>
          </w:r>
          <w:r>
            <w:fldChar w:fldCharType="end"/>
          </w:r>
        </w:sdtContent>
      </w:sdt>
      <w:r>
        <w:t xml:space="preserve">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Table III lists the controls; each keeps the worlds and gates of GODA and changes one thing. Shadow streams are separate from the world seeds. The two streams differ in the ember draws only: over the 364 final tests the forecast costs of the two futures differ by a median 0.2% of the baseline cost, and the gains on the two futures agree in sign for 99% of the candidates, so the second future guards against a candidate fitted to one ember path and not against state or model uncertainty, which the independent-future, model-error and situation-picture tests address.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The cost-function test replays the admitted objects under four changed cost functions and reruns live generation under one of them, the reference burned fraction 0.25. Each setting has its own paired Closed reference. The six hand-written tactics of Table IV, written from initial-attack practice over the seven effects, extend the five seeds as rules of the doctrine that fire on their antecedents and place their clauses by sector and band, so this control is a fixed library with the full effect repertoire from the first cycle. A tuned variant chooses the band and amount of each tactic among six variants by the one-future forecast, six forecasts per tactic, the first time the tactic fires.</w:t>
      </w:r>
      <w:r>
        <w:fldChar w:fldCharType="begin"/>
      </w:r>
      <w:r>
        <w:instrText xml:space="preserve"> REF _RefTab_expert \h </w:instrText>
      </w:r>
      <w:r>
        <w:fldChar w:fldCharType="separate"/>
      </w:r>
      <w:r>
        <w:t xml:space="preserve"/>
      </w:r>
      <w:r>
        <w:fldChar w:fldCharType="end"/>
      </w:r>
      <w:r>
        <w:t xml:space="preserve"/>
      </w:r>
    </w:p>
    <w:p w14:paraId="074F567F"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 The forecast budget is equal across proposers but the computation is not: a world takes 93 s with the random proposer, 62 s with the evolutionary search and 105 s with GODA on the campaign machine, and the model calls run on a hosted service whose computation is not counted.</w:t>
      </w:r>
    </w:p>
    <w:p w14:paraId="09B60A2D" w14:textId="1917FC1F" w:rsidR="003E3FD9" w:rsidRDefault="00284E68" w:rsidP="00C83E79">
      <w:pPr>
        <w:pStyle w:val="TableTitle"/>
        <w:keepNext/>
        <w:spacing w:before="120"/>
      </w:pPr>
      <w:bookmarkStart w:id="51" w:name="_RefTab_camp"/>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III</w:t>
      </w:r>
      <w:r w:rsidR="00D31F60">
        <w:rPr>
          <w:noProof/>
        </w:rPr>
        <w:fldChar w:fldCharType="end"/>
      </w:r>
      <w:bookmarkEnd w:id="51"/>
    </w:p>
    <w:p w14:paraId="27B11121" w14:textId="77777777" w:rsidR="00FF0CB1" w:rsidRDefault="00DB0B75">
      <w:pPr>
        <w:pStyle w:val="TableTitle"/>
        <w:keepNext/>
        <w:spacing w:after="60"/>
      </w:pPr>
      <w:r>
        <w:t xml:space="preserve">Controls and tests (each keeps the worlds of GODA and, unless stated, gates G1–G8)</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750"/>
        <w:gridCol w:w="2290"/>
        <w:gridCol w:w="1000"/>
      </w:tblGrid>
      <w:tr w:rsidR="00FF0CB1" w14:paraId="04E2DAB7" w14:textId="77777777" w:rsidTr="00284E68">
        <w:tc>
          <w:tcPr>
            <w:tcW w:w="1750" w:type="dxa"/>
            <w:shd w:val="clear" w:color="auto" w:fill="D9D9D9" w:themeFill="background1" w:themeFillShade="D9"/>
          </w:tcPr>
          <w:p w14:paraId="4EEADBFB" w14:textId="77777777" w:rsidR="00FF0CB1" w:rsidRDefault="00DB0B75">
            <w:pPr>
              <w:keepNext/>
              <w:spacing w:line="220" w:lineRule="auto"/>
            </w:pPr>
            <w:r>
              <w:rPr>
                <w:b/>
                <w:sz w:val="18"/>
              </w:rPr>
              <w:t xml:space="preserve">Setting</w:t>
            </w:r>
          </w:p>
        </w:tc>
        <w:tc>
          <w:tcPr>
            <w:tcW w:w="2290" w:type="dxa"/>
            <w:shd w:val="clear" w:color="auto" w:fill="D9D9D9" w:themeFill="background1" w:themeFillShade="D9"/>
          </w:tcPr>
          <w:p w14:paraId="2306007B" w14:textId="77777777" w:rsidR="00FF0CB1" w:rsidRDefault="00DB0B75">
            <w:pPr>
              <w:keepNext/>
              <w:spacing w:line="220" w:lineRule="auto"/>
              <w:jc w:val="center"/>
            </w:pPr>
            <w:r>
              <w:rPr>
                <w:b/>
                <w:sz w:val="18"/>
              </w:rPr>
              <w:t xml:space="preserve">Differs from GODA in</w:t>
            </w:r>
          </w:p>
        </w:tc>
        <w:tc>
          <w:tcPr>
            <w:tcW w:w="1000" w:type="dxa"/>
            <w:shd w:val="clear" w:color="auto" w:fill="D9D9D9" w:themeFill="background1" w:themeFillShade="D9"/>
          </w:tcPr>
          <w:p w14:paraId="384D2F6C" w14:textId="77777777" w:rsidR="00FF0CB1" w:rsidRDefault="00DB0B75">
            <w:pPr>
              <w:keepNext/>
              <w:spacing w:line="220" w:lineRule="auto"/>
              <w:jc w:val="center"/>
            </w:pPr>
            <w:r>
              <w:rPr>
                <w:b/>
                <w:sz w:val="18"/>
              </w:rPr>
              <w:t xml:space="preserve">Forecasts; gates</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Candidate source, search and gates</w:t>
            </w:r>
          </w:p>
        </w:tc>
        <w:tc>
          <w:tcPr>
            <w:tcW w:w="2290" w:type="dxa"/>
          </w:tcPr>
          <w:p w14:paraId="66E0997B" w14:textId="77777777" w:rsidR="00FF0CB1" w:rsidRDefault="00DB0B75">
            <w:pPr>
              <w:keepNext/>
              <w:spacing w:line="220" w:lineRule="auto"/>
              <w:jc w:val="center"/>
            </w:pPr>
            <w:r>
              <w:rPr>
                <w:sz w:val="18"/>
              </w:rPr>
              <w:t xml:space="preserve"/>
            </w:r>
          </w:p>
        </w:tc>
        <w:tc>
          <w:tcPr>
            <w:tcW w:w="10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Closed (reference)</w:t>
            </w:r>
          </w:p>
        </w:tc>
        <w:tc>
          <w:tcPr>
            <w:tcW w:w="2290" w:type="dxa"/>
          </w:tcPr>
          <w:p w14:paraId="66E0997B" w14:textId="77777777" w:rsidR="00FF0CB1" w:rsidRDefault="00DB0B75">
            <w:pPr>
              <w:keepNext/>
              <w:spacing w:line="220" w:lineRule="auto"/>
              <w:jc w:val="center"/>
            </w:pPr>
            <w:r>
              <w:rPr>
                <w:sz w:val="18"/>
              </w:rPr>
              <w:t xml:space="preserve">no open layer</w:t>
            </w:r>
          </w:p>
        </w:tc>
        <w:tc>
          <w:tcPr>
            <w:tcW w:w="1000" w:type="dxa"/>
          </w:tcPr>
          <w:p w14:paraId="516CF367" w14:textId="77777777" w:rsidR="00FF0CB1" w:rsidRDefault="00DB0B75">
            <w:pPr>
              <w:keepNext/>
              <w:spacing w:line="220" w:lineRule="auto"/>
              <w:jc w:val="center"/>
            </w:pPr>
            <w:r>
              <w:rPr>
                <w:sz w:val="18"/>
              </w:rPr>
              <w:t xml:space="preserve">0; fail-safe, no-harm</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or LLM, one</w:t>
            </w:r>
          </w:p>
        </w:tc>
        <w:tc>
          <w:tcPr>
            <w:tcW w:w="2290" w:type="dxa"/>
          </w:tcPr>
          <w:p w14:paraId="66E0997B" w14:textId="77777777" w:rsidR="00FF0CB1" w:rsidRDefault="00DB0B75">
            <w:pPr>
              <w:keepNext/>
              <w:spacing w:line="220" w:lineRule="auto"/>
              <w:jc w:val="center"/>
            </w:pPr>
            <w:r>
              <w:rPr>
                <w:sz w:val="18"/>
              </w:rPr>
              <w:t xml:space="preserve">one unpriced candidate; ungated variant without G5–G8</w:t>
            </w:r>
          </w:p>
        </w:tc>
        <w:tc>
          <w:tcPr>
            <w:tcW w:w="1000" w:type="dxa"/>
          </w:tcPr>
          <w:p w14:paraId="516CF367" w14:textId="77777777" w:rsidR="00FF0CB1" w:rsidRDefault="00DB0B75">
            <w:pPr>
              <w:keepNext/>
              <w:spacing w:line="220" w:lineRule="auto"/>
              <w:jc w:val="center"/>
            </w:pPr>
            <w:r>
              <w:rPr>
                <w:sz w:val="18"/>
              </w:rPr>
              <w:t xml:space="preserve">0; G1–G8 or G1–G4</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small; LLM, candidates only</w:t>
            </w:r>
          </w:p>
        </w:tc>
        <w:tc>
          <w:tcPr>
            <w:tcW w:w="2290" w:type="dxa"/>
          </w:tcPr>
          <w:p w14:paraId="66E0997B" w14:textId="77777777" w:rsidR="00FF0CB1" w:rsidRDefault="00DB0B75">
            <w:pPr>
              <w:keepNext/>
              <w:spacing w:line="220" w:lineRule="auto"/>
              <w:jc w:val="center"/>
            </w:pPr>
            <w:r>
              <w:rPr>
                <w:sz w:val="18"/>
              </w:rPr>
              <w:t xml:space="preserve">six samples or six model candidates, no variations</w:t>
            </w:r>
          </w:p>
        </w:tc>
        <w:tc>
          <w:tcPr>
            <w:tcW w:w="1000" w:type="dxa"/>
          </w:tcPr>
          <w:p w14:paraId="516CF367" w14:textId="77777777" w:rsidR="00FF0CB1" w:rsidRDefault="00DB0B75">
            <w:pPr>
              <w:keepNext/>
              <w:spacing w:line="220" w:lineRule="auto"/>
              <w:jc w:val="center"/>
            </w:pPr>
            <w:r>
              <w:rPr>
                <w:sz w:val="18"/>
              </w:rPr>
              <w:t xml:space="preserve">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full; families only; with variations</w:t>
            </w:r>
          </w:p>
        </w:tc>
        <w:tc>
          <w:tcPr>
            <w:tcW w:w="2290" w:type="dxa"/>
          </w:tcPr>
          <w:p w14:paraId="66E0997B" w14:textId="77777777" w:rsidR="00FF0CB1" w:rsidRDefault="00DB0B75">
            <w:pPr>
              <w:keepNext/>
              <w:spacing w:line="220" w:lineRule="auto"/>
              <w:jc w:val="center"/>
            </w:pPr>
            <w:r>
              <w:rPr>
                <w:sz w:val="18"/>
              </w:rPr>
              <w:t xml:space="preserve">uniform candidates; rules and macros only; six uniform seeds then variations</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Hand-written seeds, with variations</w:t>
            </w:r>
          </w:p>
        </w:tc>
        <w:tc>
          <w:tcPr>
            <w:tcW w:w="2290" w:type="dxa"/>
          </w:tcPr>
          <w:p w14:paraId="66E0997B" w14:textId="77777777" w:rsidR="00FF0CB1" w:rsidRDefault="00DB0B75">
            <w:pPr>
              <w:keepNext/>
              <w:spacing w:line="220" w:lineRule="auto"/>
              <w:jc w:val="center"/>
            </w:pPr>
            <w:r>
              <w:rPr>
                <w:sz w:val="18"/>
              </w:rPr>
              <w:t xml:space="preserve">Table IV tactics as seeds</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Evolutionary search</w:t>
            </w:r>
          </w:p>
        </w:tc>
        <w:tc>
          <w:tcPr>
            <w:tcW w:w="2290" w:type="dxa"/>
          </w:tcPr>
          <w:p w14:paraId="66E0997B" w14:textId="77777777" w:rsidR="00FF0CB1" w:rsidRDefault="00DB0B75">
            <w:pPr>
              <w:keepNext/>
              <w:spacing w:line="220" w:lineRule="auto"/>
              <w:jc w:val="center"/>
            </w:pPr>
            <w:r>
              <w:rPr>
                <w:sz w:val="18"/>
              </w:rPr>
              <w:t xml:space="preserve">population 12 × 3; also 6 × 5 and 18 × 1</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and GODA at 12 and 24</w:t>
            </w:r>
          </w:p>
        </w:tc>
        <w:tc>
          <w:tcPr>
            <w:tcW w:w="2290" w:type="dxa"/>
          </w:tcPr>
          <w:p w14:paraId="66E0997B" w14:textId="77777777" w:rsidR="00FF0CB1" w:rsidRDefault="00DB0B75">
            <w:pPr>
              <w:keepNext/>
              <w:spacing w:line="220" w:lineRule="auto"/>
              <w:jc w:val="center"/>
            </w:pPr>
            <w:r>
              <w:rPr>
                <w:sz w:val="18"/>
              </w:rPr>
              <w:t xml:space="preserve">search budget</w:t>
            </w:r>
          </w:p>
        </w:tc>
        <w:tc>
          <w:tcPr>
            <w:tcW w:w="1000" w:type="dxa"/>
          </w:tcPr>
          <w:p w14:paraId="516CF367" w14:textId="77777777" w:rsidR="00FF0CB1" w:rsidRDefault="00DB0B75">
            <w:pPr>
              <w:keepNext/>
              <w:spacing w:line="220" w:lineRule="auto"/>
              <w:jc w:val="center"/>
            </w:pPr>
            <w:r>
              <w:rPr>
                <w:sz w:val="18"/>
              </w:rPr>
              <w:t xml:space="preserve">12, 24</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GODA repeat; independent gates</w:t>
            </w:r>
          </w:p>
        </w:tc>
        <w:tc>
          <w:tcPr>
            <w:tcW w:w="2290" w:type="dxa"/>
          </w:tcPr>
          <w:p w14:paraId="66E0997B" w14:textId="77777777" w:rsidR="00FF0CB1" w:rsidRDefault="00DB0B75">
            <w:pPr>
              <w:keepNext/>
              <w:spacing w:line="220" w:lineRule="auto"/>
              <w:jc w:val="center"/>
            </w:pPr>
            <w:r>
              <w:rPr>
                <w:sz w:val="18"/>
              </w:rPr>
              <w:t xml:space="preserve">new model calls; G5–G8 on two further streams</w:t>
            </w:r>
          </w:p>
        </w:tc>
        <w:tc>
          <w:tcPr>
            <w:tcW w:w="1000" w:type="dxa"/>
          </w:tcPr>
          <w:p w14:paraId="516CF367" w14:textId="77777777" w:rsidR="00FF0CB1" w:rsidRDefault="00DB0B75">
            <w:pPr>
              <w:keepNext/>
              <w:spacing w:line="220" w:lineRule="auto"/>
              <w:jc w:val="center"/>
            </w:pPr>
            <w:r>
              <w:rPr>
                <w:sz w:val="18"/>
              </w:rPr>
              <w:t xml:space="preserve">36; 36 + 4</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Gates on one future, G5 only</w:t>
            </w:r>
          </w:p>
        </w:tc>
        <w:tc>
          <w:tcPr>
            <w:tcW w:w="2290" w:type="dxa"/>
          </w:tcPr>
          <w:p w14:paraId="66E0997B" w14:textId="77777777" w:rsidR="00FF0CB1" w:rsidRDefault="00DB0B75">
            <w:pPr>
              <w:keepNext/>
              <w:spacing w:line="220" w:lineRule="auto"/>
              <w:jc w:val="center"/>
            </w:pPr>
            <w:r>
              <w:rPr>
                <w:sz w:val="18"/>
              </w:rPr>
              <w:t xml:space="preserve">one future; G6–G8 off</w:t>
            </w:r>
          </w:p>
        </w:tc>
        <w:tc>
          <w:tcPr>
            <w:tcW w:w="1000" w:type="dxa"/>
          </w:tcPr>
          <w:p w14:paraId="516CF367" w14:textId="77777777" w:rsidR="00FF0CB1" w:rsidRDefault="00DB0B75">
            <w:pPr>
              <w:keepNext/>
              <w:spacing w:line="220" w:lineRule="auto"/>
              <w:jc w:val="center"/>
            </w:pPr>
            <w:r>
              <w:rPr>
                <w:sz w:val="18"/>
              </w:rPr>
              <w:t xml:space="preserve">36; G1–G5</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Admitted objects withdrawn</w:t>
            </w:r>
          </w:p>
        </w:tc>
        <w:tc>
          <w:tcPr>
            <w:tcW w:w="2290" w:type="dxa"/>
          </w:tcPr>
          <w:p w14:paraId="66E0997B" w14:textId="77777777" w:rsidR="00FF0CB1" w:rsidRDefault="00DB0B75">
            <w:pPr>
              <w:keepNext/>
              <w:spacing w:line="220" w:lineRule="auto"/>
              <w:jc w:val="center"/>
            </w:pPr>
            <w:r>
              <w:rPr>
                <w:sz w:val="18"/>
              </w:rPr>
              <w:t xml:space="preserve">no doctrine within the incident</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Brief parity; coating parity</w:t>
            </w:r>
          </w:p>
        </w:tc>
        <w:tc>
          <w:tcPr>
            <w:tcW w:w="2290" w:type="dxa"/>
          </w:tcPr>
          <w:p w14:paraId="66E0997B" w14:textId="77777777" w:rsidR="00FF0CB1" w:rsidRDefault="00DB0B75">
            <w:pPr>
              <w:keepNext/>
              <w:spacing w:line="220" w:lineRule="auto"/>
              <w:jc w:val="center"/>
            </w:pPr>
            <w:r>
              <w:rPr>
                <w:sz w:val="18"/>
              </w:rPr>
              <w:t xml:space="preserve">brief from the perturbed copy; coat reach-limited and charged</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Model errors and limits (live world changed; planner nominal unless stated)</w:t>
            </w:r>
          </w:p>
        </w:tc>
        <w:tc>
          <w:tcPr>
            <w:tcW w:w="2290" w:type="dxa"/>
          </w:tcPr>
          <w:p w14:paraId="66E0997B" w14:textId="77777777" w:rsidR="00FF0CB1" w:rsidRDefault="00DB0B75">
            <w:pPr>
              <w:keepNext/>
              <w:spacing w:line="220" w:lineRule="auto"/>
              <w:jc w:val="center"/>
            </w:pPr>
            <w:r>
              <w:rPr>
                <w:sz w:val="18"/>
              </w:rPr>
              <w:t xml:space="preserve"/>
            </w:r>
          </w:p>
        </w:tc>
        <w:tc>
          <w:tcPr>
            <w:tcW w:w="10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Suppression errors (3)</w:t>
            </w:r>
          </w:p>
        </w:tc>
        <w:tc>
          <w:tcPr>
            <w:tcW w:w="2290" w:type="dxa"/>
          </w:tcPr>
          <w:p w14:paraId="66E0997B" w14:textId="77777777" w:rsidR="00FF0CB1" w:rsidRDefault="00DB0B75">
            <w:pPr>
              <w:keepNext/>
              <w:spacing w:line="220" w:lineRule="auto"/>
              <w:jc w:val="center"/>
            </w:pPr>
            <w:r>
              <w:rPr>
                <w:sz w:val="18"/>
              </w:rPr>
              <w:t xml:space="preserve">intensity, travel decay, knockdown ×1.5</w:t>
            </w:r>
          </w:p>
        </w:tc>
        <w:tc>
          <w:tcPr>
            <w:tcW w:w="1000" w:type="dxa"/>
          </w:tcPr>
          <w:p w14:paraId="516CF367" w14:textId="77777777" w:rsidR="00FF0CB1" w:rsidRDefault="00DB0B75">
            <w:pPr>
              <w:keepNext/>
              <w:spacing w:line="220" w:lineRule="auto"/>
              <w:jc w:val="center"/>
            </w:pPr>
            <w:r>
              <w:rPr>
                <w:sz w:val="18"/>
              </w:rPr>
              <w:t xml:space="preserve">replay</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Coating weakened, ineffective; effectiveness sweep; wind ×1.5, ±30°</w:t>
            </w:r>
          </w:p>
        </w:tc>
        <w:tc>
          <w:tcPr>
            <w:tcW w:w="2290" w:type="dxa"/>
          </w:tcPr>
          <w:p w14:paraId="66E0997B" w14:textId="77777777" w:rsidR="00FF0CB1" w:rsidRDefault="00DB0B75">
            <w:pPr>
              <w:keepNext/>
              <w:spacing w:line="220" w:lineRule="auto"/>
              <w:jc w:val="center"/>
            </w:pPr>
            <w:r>
              <w:rPr>
                <w:sz w:val="18"/>
              </w:rPr>
              <w:t xml:space="preserve">coat effect halved or zero; 0.75 to 0 in four steps, replay; spread rate, direction</w:t>
            </w:r>
          </w:p>
        </w:tc>
        <w:tc>
          <w:tcPr>
            <w:tcW w:w="1000" w:type="dxa"/>
          </w:tcPr>
          <w:p w14:paraId="516CF367" w14:textId="77777777" w:rsidR="00FF0CB1" w:rsidRDefault="00DB0B75">
            <w:pPr>
              <w:keepNext/>
              <w:spacing w:line="220" w:lineRule="auto"/>
              <w:jc w:val="center"/>
            </w:pPr>
            <w:r>
              <w:rPr>
                <w:sz w:val="18"/>
              </w:rPr>
              <w:t xml:space="preserve">36; replay; 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Spread kernel and embers; combined error</w:t>
            </w:r>
          </w:p>
        </w:tc>
        <w:tc>
          <w:tcPr>
            <w:tcW w:w="2290" w:type="dxa"/>
          </w:tcPr>
          <w:p w14:paraId="66E0997B" w14:textId="77777777" w:rsidR="00FF0CB1" w:rsidRDefault="00DB0B75">
            <w:pPr>
              <w:keepNext/>
              <w:spacing w:line="220" w:lineRule="auto"/>
              <w:jc w:val="center"/>
            </w:pPr>
            <w:r>
              <w:rPr>
                <w:sz w:val="18"/>
              </w:rPr>
              <w:t xml:space="preserve">cosine kernel, short embers; with wind ×1.5 and weak coating</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Price, stock, delay limits</w:t>
            </w:r>
          </w:p>
        </w:tc>
        <w:tc>
          <w:tcPr>
            <w:tcW w:w="2290" w:type="dxa"/>
          </w:tcPr>
          <w:p w14:paraId="66E0997B" w14:textId="77777777" w:rsidR="00FF0CB1" w:rsidRDefault="00DB0B75">
            <w:pPr>
              <w:keepNext/>
              <w:spacing w:line="220" w:lineRule="auto"/>
              <w:jc w:val="center"/>
            </w:pPr>
            <w:r>
              <w:rPr>
                <w:sz w:val="18"/>
              </w:rPr>
              <w:t xml:space="preserve">planner and world alike</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Perturbed state</w:t>
            </w:r>
          </w:p>
        </w:tc>
        <w:tc>
          <w:tcPr>
            <w:tcW w:w="2290" w:type="dxa"/>
          </w:tcPr>
          <w:p w14:paraId="66E0997B" w14:textId="77777777" w:rsidR="00FF0CB1" w:rsidRDefault="00DB0B75">
            <w:pPr>
              <w:keepNext/>
              <w:spacing w:line="220" w:lineRule="auto"/>
              <w:jc w:val="center"/>
            </w:pPr>
            <w:r>
              <w:rPr>
                <w:sz w:val="18"/>
              </w:rPr>
              <w:t xml:space="preserve">25% of burning cells unseen by forecasts</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Cost functions; larger domain</w:t>
            </w:r>
          </w:p>
        </w:tc>
        <w:tc>
          <w:tcPr>
            <w:tcW w:w="2290" w:type="dxa"/>
          </w:tcPr>
          <w:p w14:paraId="66E0997B" w14:textId="77777777" w:rsidR="00FF0CB1" w:rsidRDefault="00DB0B75">
            <w:pPr>
              <w:keepNext/>
              <w:spacing w:line="220" w:lineRule="auto"/>
              <w:jc w:val="center"/>
            </w:pPr>
            <w:r>
              <w:rPr>
                <w:sz w:val="18"/>
              </w:rPr>
              <w:t xml:space="preserve">four replays, one live rerun; 120 × 90 grid, 30 worlds</w:t>
            </w:r>
          </w:p>
        </w:tc>
        <w:tc>
          <w:tcPr>
            <w:tcW w:w="1000" w:type="dxa"/>
          </w:tcPr>
          <w:p w14:paraId="516CF367" w14:textId="77777777" w:rsidR="00FF0CB1" w:rsidRDefault="00DB0B75">
            <w:pPr>
              <w:keepNext/>
              <w:spacing w:line="220" w:lineRule="auto"/>
              <w:jc w:val="center"/>
            </w:pPr>
            <w:r>
              <w:rPr>
                <w:sz w:val="18"/>
              </w:rPr>
              <w:t xml:space="preserve">replay, 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Doctrine and transfer</w:t>
            </w:r>
          </w:p>
        </w:tc>
        <w:tc>
          <w:tcPr>
            <w:tcW w:w="2290" w:type="dxa"/>
          </w:tcPr>
          <w:p w14:paraId="66E0997B" w14:textId="77777777" w:rsidR="00FF0CB1" w:rsidRDefault="00DB0B75">
            <w:pPr>
              <w:keepNext/>
              <w:spacing w:line="220" w:lineRule="auto"/>
              <w:jc w:val="center"/>
            </w:pPr>
            <w:r>
              <w:rPr>
                <w:sz w:val="18"/>
              </w:rPr>
              <w:t xml:space="preserve"/>
            </w:r>
          </w:p>
        </w:tc>
        <w:tc>
          <w:tcPr>
            <w:tcW w:w="10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40 rules; six hand-written tactics, as written or forecast-tuned</w:t>
            </w:r>
          </w:p>
        </w:tc>
        <w:tc>
          <w:tcPr>
            <w:tcW w:w="2290" w:type="dxa"/>
          </w:tcPr>
          <w:p w14:paraId="66E0997B" w14:textId="77777777" w:rsidR="00FF0CB1" w:rsidRDefault="00DB0B75">
            <w:pPr>
              <w:keepNext/>
              <w:spacing w:line="220" w:lineRule="auto"/>
              <w:jc w:val="center"/>
            </w:pPr>
            <w:r>
              <w:rPr>
                <w:sz w:val="18"/>
              </w:rPr>
              <w:t xml:space="preserve">full written doctrine; fixed library over the seven effects, band and amount tuned by six forecasts per tactic</w:t>
            </w:r>
          </w:p>
        </w:tc>
        <w:tc>
          <w:tcPr>
            <w:tcW w:w="1000" w:type="dxa"/>
          </w:tcPr>
          <w:p w14:paraId="516CF367" w14:textId="77777777" w:rsidR="00FF0CB1" w:rsidRDefault="00DB0B75">
            <w:pPr>
              <w:keepNext/>
              <w:spacing w:line="220" w:lineRule="auto"/>
              <w:jc w:val="center"/>
            </w:pPr>
            <w:r>
              <w:rPr>
                <w:sz w:val="18"/>
              </w:rPr>
              <w:t xml:space="preserve">0; fail-safe, no-harm</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Recorded tactics; family withholding; S6–S8</w:t>
            </w:r>
          </w:p>
        </w:tc>
        <w:tc>
          <w:tcPr>
            <w:tcW w:w="2290" w:type="dxa"/>
          </w:tcPr>
          <w:p w14:paraId="66E0997B" w14:textId="77777777" w:rsidR="00FF0CB1" w:rsidRDefault="00DB0B75">
            <w:pPr>
              <w:keepNext/>
              <w:spacing w:line="220" w:lineRule="auto"/>
              <w:jc w:val="center"/>
            </w:pPr>
            <w:r>
              <w:rPr>
                <w:sz w:val="18"/>
              </w:rPr>
              <w:t xml:space="preserve">four transferred packages; a family removed; three new families</w:t>
            </w:r>
          </w:p>
        </w:tc>
        <w:tc>
          <w:tcPr>
            <w:tcW w:w="1000" w:type="dxa"/>
          </w:tcPr>
          <w:p w14:paraId="516CF367" w14:textId="77777777" w:rsidR="00FF0CB1" w:rsidRDefault="00DB0B75">
            <w:pPr>
              <w:keepNext/>
              <w:spacing w:line="220" w:lineRule="auto"/>
              <w:jc w:val="center"/>
            </w:pPr>
            <w:r>
              <w:rPr>
                <w:sz w:val="18"/>
              </w:rPr>
              <w:t xml:space="preserve">0 or 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Object and effect removal</w:t>
            </w:r>
          </w:p>
        </w:tc>
        <w:tc>
          <w:tcPr>
            <w:tcW w:w="2290" w:type="dxa"/>
          </w:tcPr>
          <w:p w14:paraId="66E0997B" w14:textId="77777777" w:rsidR="00FF0CB1" w:rsidRDefault="00DB0B75">
            <w:pPr>
              <w:keepNext/>
              <w:spacing w:line="220" w:lineRule="auto"/>
              <w:jc w:val="center"/>
            </w:pPr>
            <w:r>
              <w:rPr>
                <w:sz w:val="18"/>
              </w:rPr>
              <w:t xml:space="preserve">replay without one object or one effect</w:t>
            </w:r>
          </w:p>
        </w:tc>
        <w:tc>
          <w:tcPr>
            <w:tcW w:w="1000" w:type="dxa"/>
          </w:tcPr>
          <w:p w14:paraId="516CF367" w14:textId="77777777" w:rsidR="00FF0CB1" w:rsidRDefault="00DB0B75">
            <w:pPr>
              <w:keepNext/>
              <w:spacing w:line="220" w:lineRule="auto"/>
              <w:jc w:val="center"/>
            </w:pPr>
            <w:r>
              <w:rPr>
                <w:sz w:val="18"/>
              </w:rPr>
              <w:t xml:space="preserve">replay</w:t>
            </w:r>
          </w:p>
        </w:tc>
      </w:tr>
    </w:tbl>
    <w:p w14:paraId="778DFAAA" w14:textId="77777777" w:rsidR="003E3FD9" w:rsidRDefault="00D31F60" w:rsidP="00C83E79">
      <w:pPr>
        <w:pStyle w:val="TableTitle"/>
        <w:keepNext/>
        <w:spacing w:before="120"/>
      </w:pP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VI</w:t>
      </w:r>
      <w:r>
        <w:fldChar w:fldCharType="end"/>
      </w:r>
      <w:r>
        <w:t>.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One family of 56 aggregate comparisons, the main comparison and every row of Tables VII, VIII and S7, so that no reported comparison is left outside it, is tested with a two-sided paired sign-flip test on one million random sign assignments and the Holm adjustment; the main comparison gives p &lt; 0.0001. The median per-world change is −21 ha in burned area, −49% of the Closed area of the world, and −0.041 in total cost, −36%. The 150 worlds are five families of 30 seeds, and a mixed-effects model of the paired difference with a random intercept per family gives −46 ha (standard error 18, p = 0.010) for burned area and −0.079 (standard error 0.023, p &lt; 0.001) for total cost, so the conclusion does not rest on treating the worlds as independent. The rows of Tables VII, VIII and S7 carry unadjusted 95% intervals; the last column of each gives the Holm-adjusted p, under which 51 rows stay below 0.05, the exceptions being the two single random-candidate controls, the persistence ablation, the forecast-tuned hand-written tactics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Under the three model errors combined (Section V-C, below) the same comparison runs from 82.3 to 57.4 ha, a reduction of 30%, with 65% of incidents extinguished against 55%, and Table VI carries that row beside the nominal one. Response cost also falls by 46%, so resource expansion does not explain the gain. Four changed cost functions, replayed and in one case rerun live, leave the area result unchanged and narrow the total-cost margin at most from 48% to 31% (Supplementary Material).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59"/>
    </w:p>
    <w:p w14:paraId="21638B9C"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combined model error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82.3 ± 12.2</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57.4 ± 12.3</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 xml:space="preserve">Table VII groups the source, search and gate comparisons; Table S7 in the Supplementary Material holds the model-error and operating-limit rows.</w:t>
      </w:r>
      <w:r>
        <w:fldChar w:fldCharType="end"/>
      </w:r>
      <w:r>
        <w:t xml:space="preserve">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 at that budget a population of 6 over five generations and one of 18 over one generation reach 46 ± 11% each, so its setting is not what holds it there.</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and by 28 ± 17% and 29 ± 19% against its two other settings;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 Selecting on one future and admitting on G5 alone, with G6 to G8 off and the no-harm guard on, gives 55 ± 13%, better in 131 worlds and worse in 7, with 87% of incidents extinguished against 91%, within 16 ± 18% of the full chain; the objects it admits are harmful in the counterfactual sense, in that their removal from the replay lowers burned area, in 14% of cases (51 of 375) against 10% (37 of 359) under the full chain, a difference of 3 ± 5 percentage points that is not significant on its own; this measure takes one object out at a time and does not account for interactions among objects, and at the incident level the difference is 6 points of area and 4 points of extinguished incidents, inside the paired interval. The verification gates therefore add little to the mean and reduce the counterfactually harmful admissions: G6 guards against a candidate fitted to one random future, G7 against a package that grows the vocabulary for no gain, and G8 against a package carried by the ordinary orders written beside its new object. Withdrawing every admitted object after the cycle in which it first acts removes the gain entirely: the same search admits 3.1 objects per world and ends at +2 ± 5% against Closed, better in 59 worlds and worse in 73, with 49% of incidents extinguished, so an admitted object must stay in force through the incident; the withdrawal ends its order and its reuse together, and this test does not separate the two.</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0"/>
    </w:p>
    <w:p w14:paraId="4C499829" w14:textId="77777777" w:rsidR="00CB2143" w:rsidRDefault="00CB2143" w:rsidP="00CB2143">
      <w:pPr>
        <w:pStyle w:val="TableTitle"/>
        <w:keepNext/>
        <w:spacing w:after="60"/>
      </w:pPr>
      <w:r>
        <w:t xml:space="preserve">Search and gate comparisons (unadjusted 95% half-widths; p Holm-adjusted over the family of 56)</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0.17</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 xml:space="preserve">0.17</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 12 × 3</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6 × 5</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18 × 1</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Gates on one future, G5 only</w:t>
            </w:r>
          </w:p>
        </w:tc>
        <w:tc>
          <w:tcPr>
            <w:tcW w:w="1100" w:type="dxa"/>
          </w:tcPr>
          <w:p w14:paraId="5A013B0F" w14:textId="77777777" w:rsidR="00CB2143" w:rsidRDefault="00CB2143" w:rsidP="00074B69">
            <w:pPr>
              <w:keepNext/>
              <w:spacing w:line="220" w:lineRule="auto"/>
              <w:jc w:val="center"/>
            </w:pPr>
            <w:r>
              <w:rPr>
                <w:sz w:val="18"/>
              </w:rPr>
              <w:t xml:space="preserve">−55 ± 13</w:t>
            </w:r>
          </w:p>
        </w:tc>
        <w:tc>
          <w:tcPr>
            <w:tcW w:w="1100" w:type="dxa"/>
          </w:tcPr>
          <w:p w14:paraId="7C43A163" w14:textId="77777777" w:rsidR="00CB2143" w:rsidRDefault="00CB2143" w:rsidP="00074B69">
            <w:pPr>
              <w:keepNext/>
              <w:spacing w:line="220" w:lineRule="auto"/>
              <w:jc w:val="center"/>
            </w:pPr>
            <w:r>
              <w:rPr>
                <w:sz w:val="18"/>
              </w:rPr>
              <w:t xml:space="preserve">−45 ± 9</w:t>
            </w:r>
          </w:p>
        </w:tc>
        <w:tc>
          <w:tcPr>
            <w:tcW w:w="1053" w:type="dxa"/>
          </w:tcPr>
          <w:p w14:paraId="4993453B" w14:textId="77777777" w:rsidR="00CB2143" w:rsidRDefault="00CB2143" w:rsidP="00074B69">
            <w:pPr>
              <w:keepNext/>
              <w:spacing w:line="220" w:lineRule="auto"/>
              <w:jc w:val="center"/>
            </w:pPr>
            <w:r>
              <w:rPr>
                <w:sz w:val="18"/>
              </w:rPr>
              <w:t xml:space="preserve">&lt;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Admitted objects withdrawn after one cycle</w:t>
            </w:r>
          </w:p>
        </w:tc>
        <w:tc>
          <w:tcPr>
            <w:tcW w:w="1100" w:type="dxa"/>
          </w:tcPr>
          <w:p w14:paraId="5A013B0F" w14:textId="77777777" w:rsidR="00CB2143" w:rsidRDefault="00CB2143" w:rsidP="00074B69">
            <w:pPr>
              <w:keepNext/>
              <w:spacing w:line="220" w:lineRule="auto"/>
              <w:jc w:val="center"/>
            </w:pPr>
            <w:r>
              <w:rPr>
                <w:sz w:val="18"/>
              </w:rPr>
              <w:t xml:space="preserve">+2 ± 5</w:t>
            </w:r>
          </w:p>
        </w:tc>
        <w:tc>
          <w:tcPr>
            <w:tcW w:w="1100" w:type="dxa"/>
          </w:tcPr>
          <w:p w14:paraId="7C43A163" w14:textId="77777777" w:rsidR="00CB2143" w:rsidRDefault="00CB2143" w:rsidP="00074B69">
            <w:pPr>
              <w:keepNext/>
              <w:spacing w:line="220" w:lineRule="auto"/>
              <w:jc w:val="center"/>
            </w:pPr>
            <w:r>
              <w:rPr>
                <w:sz w:val="18"/>
              </w:rPr>
              <w:t xml:space="preserve">+3 ± 4</w:t>
            </w:r>
          </w:p>
        </w:tc>
        <w:tc>
          <w:tcPr>
            <w:tcW w:w="1053" w:type="dxa"/>
          </w:tcPr>
          <w:p w14:paraId="4993453B" w14:textId="77777777" w:rsidR="00CB2143" w:rsidRDefault="00CB2143" w:rsidP="00074B69">
            <w:pPr>
              <w:keepNext/>
              <w:spacing w:line="220" w:lineRule="auto"/>
              <w:jc w:val="center"/>
            </w:pPr>
            <w:r>
              <w:rPr>
                <w:sz w:val="18"/>
              </w:rPr>
              <w:t xml:space="preserve">0.90</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Table S7 in the Supplementary Material lists the model-error and operating-limit rows. 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A replay sweep of the coating effectiveness, the burning reduction and the moisture floor scaled together to 0.75, 0.5, 0.25 and 0 of their nominal values, retains 55, 46, 31 and 31% against Closed, within two points whether the planner keeps the nominal coating or shares the weaker one; the gain falls with the assumed effectiveness to a floor near 30% carried by the other effects, and the two lowest levels coincide because below half effectiveness a coated cell no longer stops spread. The other settings move one or three parameters at a time; within them the ordering against Closed is unchanged in every row of Table S7, while the ordering among the gated searches was not tested under perturbed effect operators. The coating, suppression, clearing and ignition operators are modelling assumptions whose nominal values are design choices; this study bounds the dependence of the gain on them and does not validate them against operations.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Withholding every admitted object that uses coating from the replay leaves 21 ± 8% against 58% for the full replay, withholding the clear or draft objects 46% and 45%, and the wet, prime, ignite or evacuate objects 54 to 55% (Supplementary Material), so about two thirds of the replayed gain travels with coating-bearing objects. With coating held to the reach and fire-size condition of the ground effects, charged to the capacity pool and priced in the cost that the gates judge, live generation admits 2.9 objects per world and keeps 54 ± 13% against its own Closed reference, better in 125 worlds and worse in 15, within 24 ± 22% of the nominal run.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When the brief of the proposer is written from the same perturbed copy, the advantage is 55 ± 12%, within 13 ± 23% of the run with the exact brief, and in S5 with the figures of the brief corrupted as the features are it is 53 ± 16% against 45 ± 18% with the exact brief, so the proposer's view of the state does not carry the gain.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recur in 15 to 29 of those worlds, so any threshold between 7 and 15 selects the same four, and a threshold of 20 would drop interface hardening;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Tuning those tactics on forecasts does not help: with the band and amount of each tactic chosen among six variants by the same one-future forecast that prices every search candidate, the tuned doctrine reduces area by 4 ± 7%, no better than the tactics as written (p = 0.30 unadjusted); in 71% of the choices no variant changes the 45 min forecast, so the variants tie and the forecast has nothing to tune, and a tuned tactic enters one cycle after the written one. What the search finds is not better parameters for known tactics but compositions that the tactics do not contain.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VIII</w:t>
      </w:r>
      <w:r>
        <w:rPr>
          <w:noProof/>
        </w:rPr>
        <w:fldChar w:fldCharType="end"/>
      </w:r>
      <w:bookmarkEnd w:id="66"/>
    </w:p>
    <w:p w14:paraId="2547F559" w14:textId="77777777" w:rsidR="00284E68" w:rsidRDefault="00284E68" w:rsidP="00284E68">
      <w:pPr>
        <w:pStyle w:val="TableTitle"/>
        <w:keepNext/>
        <w:spacing w:after="60"/>
      </w:pPr>
      <w:r>
        <w:t xml:space="preserve">Doctrine and continued generation comparisons (unadjusted 95% half-widths; p Holm-adjusted over the family of 56)</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 xml:space="preserve">0.035</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 xml:space="preserve">0.0067</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 xml:space="preserve">Seeds + six hand-written tactics tuned on forecasts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 xml:space="preserve">150</w:t>
            </w:r>
          </w:p>
        </w:tc>
        <w:tc>
          <w:tcPr>
            <w:tcW w:w="760" w:type="dxa"/>
            <w:vAlign w:val="center"/>
          </w:tcPr>
          <w:p w14:paraId="5CEC8D0C" w14:textId="77777777" w:rsidR="00284E68" w:rsidRDefault="00284E68" w:rsidP="00652ECC">
            <w:pPr>
              <w:keepNext/>
              <w:spacing w:line="220" w:lineRule="auto"/>
              <w:jc w:val="center"/>
            </w:pPr>
            <w:r>
              <w:rPr>
                <w:sz w:val="18"/>
              </w:rPr>
              <w:t xml:space="preserve">−4 ± 7</w:t>
            </w:r>
          </w:p>
        </w:tc>
        <w:tc>
          <w:tcPr>
            <w:tcW w:w="780" w:type="dxa"/>
            <w:vAlign w:val="center"/>
          </w:tcPr>
          <w:p w14:paraId="79EBE2CB" w14:textId="77777777" w:rsidR="00284E68" w:rsidRDefault="00284E68" w:rsidP="00652ECC">
            <w:pPr>
              <w:keepNext/>
              <w:spacing w:line="220" w:lineRule="auto"/>
              <w:jc w:val="center"/>
            </w:pPr>
            <w:r>
              <w:rPr>
                <w:sz w:val="18"/>
              </w:rPr>
              <w:t xml:space="preserve">−1 ± 5</w:t>
            </w:r>
          </w:p>
        </w:tc>
        <w:tc>
          <w:tcPr>
            <w:tcW w:w="800" w:type="dxa"/>
            <w:vAlign w:val="center"/>
          </w:tcPr>
          <w:p w14:paraId="696872FD" w14:textId="77777777" w:rsidR="00284E68" w:rsidRDefault="00284E68" w:rsidP="00652ECC">
            <w:pPr>
              <w:keepNext/>
              <w:spacing w:line="220" w:lineRule="auto"/>
              <w:jc w:val="center"/>
            </w:pPr>
            <w:r>
              <w:rPr>
                <w:sz w:val="18"/>
              </w:rPr>
              <w:t xml:space="preserve">0.90</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 xml:space="preserve">0.90</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 xml:space="preserve">&lt;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0.0009</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0.0042</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Pr>
          <w:sz w:val="18"/>
        </w:rPr>
        <w:t xml:space="preserve">Fig. S1 in the Supplementary Material</w:t>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simulated worlds, it reduces burned area by 61%, and by 30% under three model errors combined, affected population, the initial residents of burned cells, by 80% and response cost by 46%, while increasing extinguished incidents from 52% to 91%. Every result of this study is an evaluation of the architecture inside its own hazard model; the hindcast assesses the footprint shape of that model and nothing here establishes the effect of the generated interventions on a real fire.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and the share of the model candidates appears at the full budget only. The gain therefore rests on the gated search over the effect grammar more than on the proposer; the verification gates G6 to G8 add little to the mean gain and bound the harmful admissions, admitted objects must stay in force through the incident, since withdrawing each after one cycle, which ends its order and its reuse together, leaves no gain, and about two thirds of the gain travels with coating-bearing objects, which keep most of it when coating is priced and reach-limited, while the gain falls with the assumed coating effectiveness to a floor near 30% at zero effect.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and tuning those tactics on forecasts does not improve them as doctrine.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 xml:space="preserve">Robustness is established for the tested perturbation classes, parameter and structural errors of the live model, redrawn omissions of burning cells and corrupted figures, and not for persistent blind sectors, delayed state updates or false detections, which were not tested. 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and by the proposer, an omission error redrawn at each step, with coating priced and reach-limited,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 Both are shown on held-out synthetic worlds and scenario families of the same model, not across fire regimes.</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and the evidence validates the decision core inside the architecture rather than the integrated system. The 30 min wait on an unanswered model call is a setting of the resumable campaign; in operation a call not answered within the decision interval is skipped and the order of the closed layer stands.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S7 are the only test of such orders under a wrong model. An ignite clause is admitted on the forecast alone; no wind, anchor or crew-distance condition is checked, so in a deployment such clauses should be disabled by default or pass an additional gate that encodes the burnout rules of the agency. The effect-removal replay bounds what they contribute: withholding every ignite-bearing object costs 3 points of the 58% replayed gain. Two further limits bound the claims: the effect operators are modelling assumptions, bounded by the coating settings of Table S7 rather than calibrated on observed operations; and the hand-written tactics of Table IV were written once, and tuning their bands and amounts on forecasts did not improve them, so their margin measures that doctrine, not the best an expert could write.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