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 xml:space="preserve">October 31,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With a Gated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 xml:space="preserve">Most decision support systems decide within a closed decision space, a set of rules or tactics fixed before the incident. The manuscript presents the Gated Open Decision Architecture (GODA), which extends this space by gated composition: new interventions are composed from a fixed set of executable physical effects, and a proposal enters the rule base only when the hazard model, not the proposer, forecasts a gain. A self-tuning Takagi-Sugeno rule base forms the closed layer; in the open layer a pretrained language model proposes rules and composed interventions, and a chain of gates on shadow forecasts admits at most one object per call.</w:t>
      </w:r>
    </w:p>
    <w:p w14:paraId="7D9E1CA2" w14:textId="50D439C6" w:rsidR="00173833" w:rsidRPr="0039420F" w:rsidRDefault="00380847">
      <w:pPr>
        <w:spacing w:after="150"/>
        <w:jc w:val="both"/>
        <w:rPr>
          <w:lang w:val="en-US"/>
        </w:rPr>
      </w:pPr>
      <w:r w:rsidRPr="0039420F">
        <w:rPr>
          <w:lang w:val="en-US"/>
        </w:rPr>
        <w:t xml:space="preserve">On 150 paired synthetic incidents, GODA lowers burned area by 61% and affected population by 80% against the closed layer, and raises extinguished incidents from 52% to 91%; on a domain three times larger the area reduction is 57%. Three controls locate the gain: a forecast-guided search over the closed vocabulary recovers two thirds of it, a random proposer over the composed grammar three quarters, and a hand-written doctrine over the same effects gains little, so the gain rests on the gated search over the effect grammar more than on the proposer. The same search without a persistent doctrine, withdrawing each admitted object after one cycle, loses the gain entirely. The admitted interventions, recorded as rules, keep most of the gain on held-out worlds. The gain holds under single and combined model errors, a fire state partly unseen by the planner and alternative cost functions, and every comparison row of the robustness and doctrine tables carries a paired test with a Holm adjustment. The hazard model is assessed separately by hindcast of four recorded fires.</w:t>
      </w:r>
    </w:p>
    <w:p w14:paraId="35BD7740" w14:textId="73221C65" w:rsidR="00173833" w:rsidRPr="0039420F" w:rsidRDefault="00380847">
      <w:pPr>
        <w:spacing w:after="150"/>
        <w:jc w:val="both"/>
        <w:rPr>
          <w:lang w:val="en-US"/>
        </w:rPr>
      </w:pPr>
      <w:r>
        <w:rPr>
          <w:lang w:val="en-US"/>
        </w:rPr>
        <w:t xml:space="preserve">The work fits the scope of the IEEE Systems Journal as a decision architecture that couples a hazard model, regional decision agents, a shared resource pool and an operator, evaluated in simulation as one system; distributed operation is outside the scope of this study.</w:t>
      </w:r>
    </w:p>
    <w:p w14:paraId="4094AA97" w14:textId="78354506" w:rsidR="00173833" w:rsidRPr="0039420F" w:rsidRDefault="00380847">
      <w:pPr>
        <w:spacing w:after="150"/>
        <w:jc w:val="both"/>
        <w:rPr>
          <w:lang w:val="en-US"/>
        </w:rPr>
      </w:pPr>
      <w:r w:rsidRPr="0039420F">
        <w:rPr>
          <w:lang w:val="en-US"/>
        </w:rPr>
        <w:t xml:space="preserve">The manuscript is original, has not been published previously and is not under consideration elsewhere. Both authors approved the submitted version and declare no competing interests. Part of the material derives from the doctoral research of the corresponding author at Middle East Technical University. A supplementary file gives the rule base, the constants of the simulation core and the search, and the proposer prompt; code, worlds and logs are available at https://github.com/northwind13/GODA.</w:t>
      </w:r>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Akman</w:t>
      </w:r>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Türkiye</w:t>
      </w:r>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Leblebicioğlu</w:t>
      </w:r>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452</Words>
  <Characters>2579</Characters>
  <Application>Microsoft Office Word</Application>
  <DocSecurity>0</DocSecurity>
  <Lines>21</Lines>
  <Paragraphs>6</Paragraphs>
  <ScaleCrop>false</ScaleCrop>
  <Company>HAVELSAN A.S</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2026-08-07T15:03:00Z</dcterms:created>
  <dcterms:modified xsi:type="dcterms:W3CDTF">2026-10-29T20:18:00Z</dcterms:modified>
</cp:coreProperties>
</file>