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rPr/>
      </w:pPr>
      <w:r>
        <w:t xml:space="preserve">Term insertion. A reading x whose highest base membership falls below the insertion threshold 0.62 creates the term X_n with the trapezoid (x − 0.12, x − 0.05, x + 0.05, x + 0.12) clipped to [0, 1], reused when a later reading falls inside an existing inserted support. The five base terms are not changed and keep their partition of unity (the shift move displaces a shared boundary of two neighbouring base terms together, so the Ruspini condition holds, and the move is clamped so that no core inverts). An inserted term is read only by rules written on it; the base rules fuzzify over the five base terms as before, so their firing strengths are unaffected.</w:t>
      </w:r>
    </w:p>
    <w:p>
      <w:pPr>
        <w:rPr/>
      </w:pPr>
      <w:r>
        <w:t xml:space="preserve">Search flow of one open-layer call. The proposer returns six candidates. G1 to G4 are applied to each; every survivor is forecast once on the first shadow future and ranked by its gain over the base without it. Within the budget of 36 first-future forecasts, the best candidates are varied (with probability one half one clause of the composed intervention changes its effect, sector, band or amount; otherwise one consequent value moves by N(0, 0.15) or the antecedents are redrawn) and the variations are forecast and ranked with them; the best three are forecast on the second future and the best of the three by the worse of its two gains goes to G5 to G8 (two forecasts of the extended base and two of the base without the candidate, plus two for the attribution test of a package carrying ordinary orders). An admitted object enters the shared rule base at once and fires in later cycles like a seed rule, in the order of the rule list; its origin, gate values and minute are logged.</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/ε</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ε</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c,max</w:t>
      </w:r>
      <w:r>
        <w:t xml:space="preserve">,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c,max</w:t>
      </w:r>
      <w:r>
        <w:t xml:space="preserve">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Information available to each component</w:t>
      </w:r>
    </w:p>
    <w:p>
      <w:pPr>
        <w:rPr/>
      </w:pPr>
      <w:r>
        <w:t xml:space="preserve">Table S4 lists what each component reads in the nominal runs and under the tests that touch the observation. The closed layer reads the ten features; the shadow forecasts, which serve the acceptance test, the closed moves and the gates, start from a copy of the simulator; the proposer reads a brief written from the state. In S5 only the features are corrupted; in the situation-picture test only the copy is perturbed; the parity test perturbs the brief in the same way as the copy, and corrupts the figures of the brief in S5.</w:t>
      </w:r>
    </w:p>
    <w:p>
      <w:pPr>
        <w:pStyle w:val="Caption"/>
      </w:pPr>
      <w:r>
        <w:t xml:space="preserve">Table S4. Information read by each component under the nominal runs and the observation tests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2400"/>
        <w:gridCol w:w="1500"/>
        <w:gridCol w:w="2000"/>
        <w:gridCol w:w="1700"/>
        <w:gridCol w:w="1760"/>
      </w:tblGrid>
      <w:tr>
        <w:trPr>
          <w:cantSplit/>
        </w:trPr>
        <w:tc>
          <w:tcPr>
            <w:tcW w:w="2400" w:type="dxa"/>
            <w:shd w:val="clear" w:color="auto" w:fill="E7E6E6"/>
          </w:tcPr>
          <w:p>
            <w:pPr>
              <w:spacing w:after="0" w:line="220" w:lineRule="auto"/>
            </w:pPr>
            <w:r>
              <w:rPr>
                <w:b/>
                <w:sz w:val="18"/>
              </w:rPr>
              <w:t xml:space="preserve">Component</w:t>
            </w:r>
          </w:p>
        </w:tc>
        <w:tc>
          <w:tcPr>
            <w:tcW w:w="1500" w:type="dxa"/>
            <w:shd w:val="clear" w:color="auto" w:fill="E7E6E6"/>
          </w:tcPr>
          <w:p>
            <w:pPr>
              <w:spacing w:after="0" w:line="220" w:lineRule="auto"/>
            </w:pPr>
            <w:r>
              <w:rPr>
                <w:b/>
                <w:sz w:val="18"/>
              </w:rPr>
              <w:t xml:space="preserve">Nominal</w:t>
            </w:r>
          </w:p>
        </w:tc>
        <w:tc>
          <w:tcPr>
            <w:tcW w:w="2000" w:type="dxa"/>
            <w:shd w:val="clear" w:color="auto" w:fill="E7E6E6"/>
          </w:tcPr>
          <w:p>
            <w:pPr>
              <w:spacing w:after="0" w:line="220" w:lineRule="auto"/>
            </w:pPr>
            <w:r>
              <w:rPr>
                <w:b/>
                <w:sz w:val="18"/>
              </w:rPr>
              <w:t xml:space="preserve">S5</w:t>
            </w:r>
          </w:p>
        </w:tc>
        <w:tc>
          <w:tcPr>
            <w:tcW w:w="1700" w:type="dxa"/>
            <w:shd w:val="clear" w:color="auto" w:fill="E7E6E6"/>
          </w:tcPr>
          <w:p>
            <w:pPr>
              <w:spacing w:after="0" w:line="220" w:lineRule="auto"/>
            </w:pPr>
            <w:r>
              <w:rPr>
                <w:b/>
                <w:sz w:val="18"/>
              </w:rPr>
              <w:t xml:space="preserve">Situation-picture test</w:t>
            </w:r>
          </w:p>
        </w:tc>
        <w:tc>
          <w:tcPr>
            <w:tcW w:w="1760" w:type="dxa"/>
            <w:shd w:val="clear" w:color="auto" w:fill="E7E6E6"/>
          </w:tcPr>
          <w:p>
            <w:pPr>
              <w:spacing w:after="0" w:line="220" w:lineRule="auto"/>
            </w:pPr>
            <w:r>
              <w:rPr>
                <w:b/>
                <w:sz w:val="18"/>
              </w:rPr>
              <w:t xml:space="preserve">Parity test</w:t>
            </w:r>
          </w:p>
        </w:tc>
      </w:tr>
      <w:tr>
        <w:trPr>
          <w:cantSplit/>
        </w:trPr>
        <w:tc>
          <w:tcPr>
            <w:tcW w:w="2400" w:type="dxa"/>
          </w:tcPr>
          <w:p>
            <w:pPr>
              <w:spacing w:after="0" w:line="220" w:lineRule="auto"/>
            </w:pPr>
            <w:r>
              <w:rPr>
                <w:sz w:val="18"/>
              </w:rPr>
              <w:t xml:space="preserve">Closed-layer features (ten features, five concepts)</w:t>
            </w:r>
          </w:p>
        </w:tc>
        <w:tc>
          <w:tcPr>
            <w:tcW w:w="1500" w:type="dxa"/>
          </w:tcPr>
          <w:p>
            <w:pPr>
              <w:spacing w:after="0" w:line="220" w:lineRule="auto"/>
            </w:pPr>
            <w:r>
              <w:rPr>
                <w:sz w:val="18"/>
              </w:rPr>
              <w:t xml:space="preserve">exact, from the state</w:t>
            </w:r>
          </w:p>
        </w:tc>
        <w:tc>
          <w:tcPr>
            <w:tcW w:w="2000" w:type="dxa"/>
          </w:tcPr>
          <w:p>
            <w:pPr>
              <w:spacing w:after="0" w:line="220" w:lineRule="auto"/>
            </w:pPr>
            <w:r>
              <w:rPr>
                <w:sz w:val="18"/>
              </w:rPr>
              <w:t xml:space="preserve">N(0, 0.1) added to all features with probability 0.25 per reading, confidence × 0.8</w:t>
            </w:r>
          </w:p>
        </w:tc>
        <w:tc>
          <w:tcPr>
            <w:tcW w:w="1700" w:type="dxa"/>
          </w:tcPr>
          <w:p>
            <w:pPr>
              <w:spacing w:after="0" w:line="220" w:lineRule="auto"/>
            </w:pPr>
            <w:r>
              <w:rPr>
                <w:sz w:val="18"/>
              </w:rPr>
              <w:t xml:space="preserve">exact</w:t>
            </w:r>
          </w:p>
        </w:tc>
        <w:tc>
          <w:tcPr>
            <w:tcW w:w="1760" w:type="dxa"/>
          </w:tcPr>
          <w:p>
            <w:pPr>
              <w:spacing w:after="0" w:line="220" w:lineRule="auto"/>
            </w:pPr>
            <w:r>
              <w:rPr>
                <w:sz w:val="18"/>
              </w:rPr>
              <w:t xml:space="preserve">as S5 / exact</w:t>
            </w:r>
          </w:p>
        </w:tc>
      </w:tr>
      <w:tr>
        <w:trPr>
          <w:cantSplit/>
        </w:trPr>
        <w:tc>
          <w:tcPr>
            <w:tcW w:w="2400" w:type="dxa"/>
          </w:tcPr>
          <w:p>
            <w:pPr>
              <w:spacing w:after="0" w:line="220" w:lineRule="auto"/>
            </w:pPr>
            <w:r>
              <w:rPr>
                <w:sz w:val="18"/>
              </w:rPr>
              <w:t xml:space="preserve">Shadow forecasts (acceptance test, closed moves, gates G5 to G8)</w:t>
            </w:r>
          </w:p>
        </w:tc>
        <w:tc>
          <w:tcPr>
            <w:tcW w:w="1500" w:type="dxa"/>
          </w:tcPr>
          <w:p>
            <w:pPr>
              <w:spacing w:after="0" w:line="220" w:lineRule="auto"/>
            </w:pPr>
            <w:r>
              <w:rPr>
                <w:sz w:val="18"/>
              </w:rPr>
              <w:t xml:space="preserve">copy of the exact state</w:t>
            </w:r>
          </w:p>
        </w:tc>
        <w:tc>
          <w:tcPr>
            <w:tcW w:w="2000" w:type="dxa"/>
          </w:tcPr>
          <w:p>
            <w:pPr>
              <w:spacing w:after="0" w:line="220" w:lineRule="auto"/>
            </w:pPr>
            <w:r>
              <w:rPr>
                <w:sz w:val="18"/>
              </w:rPr>
              <w:t xml:space="preserve">copy of the exact state</w:t>
            </w:r>
          </w:p>
        </w:tc>
        <w:tc>
          <w:tcPr>
            <w:tcW w:w="1700" w:type="dxa"/>
          </w:tcPr>
          <w:p>
            <w:pPr>
              <w:spacing w:after="0" w:line="220" w:lineRule="auto"/>
            </w:pPr>
            <w:r>
              <w:rPr>
                <w:sz w:val="18"/>
              </w:rPr>
              <w:t xml:space="preserve">copy with 25% of burning cells dropped, redrawn each step</w:t>
            </w:r>
          </w:p>
        </w:tc>
        <w:tc>
          <w:tcPr>
            <w:tcW w:w="1760" w:type="dxa"/>
          </w:tcPr>
          <w:p>
            <w:pPr>
              <w:spacing w:after="0" w:line="220" w:lineRule="auto"/>
            </w:pPr>
            <w:r>
              <w:rPr>
                <w:sz w:val="18"/>
              </w:rPr>
              <w:t xml:space="preserve">same copy as the situation-picture test</w:t>
            </w:r>
          </w:p>
        </w:tc>
      </w:tr>
      <w:tr>
        <w:trPr>
          <w:cantSplit/>
        </w:trPr>
        <w:tc>
          <w:tcPr>
            <w:tcW w:w="2400" w:type="dxa"/>
          </w:tcPr>
          <w:p>
            <w:pPr>
              <w:spacing w:after="0" w:line="220" w:lineRule="auto"/>
            </w:pPr>
            <w:r>
              <w:rPr>
                <w:sz w:val="18"/>
              </w:rPr>
              <w:t xml:space="preserve">Proposer brief</w:t>
            </w:r>
          </w:p>
        </w:tc>
        <w:tc>
          <w:tcPr>
            <w:tcW w:w="1500" w:type="dxa"/>
          </w:tcPr>
          <w:p>
            <w:pPr>
              <w:spacing w:after="0" w:line="220" w:lineRule="auto"/>
            </w:pPr>
            <w:r>
              <w:rPr>
                <w:sz w:val="18"/>
              </w:rPr>
              <w:t xml:space="preserve">figures from the state</w:t>
            </w:r>
          </w:p>
        </w:tc>
        <w:tc>
          <w:tcPr>
            <w:tcW w:w="2000" w:type="dxa"/>
          </w:tcPr>
          <w:p>
            <w:pPr>
              <w:spacing w:after="0" w:line="220" w:lineRule="auto"/>
            </w:pPr>
            <w:r>
              <w:rPr>
                <w:sz w:val="18"/>
              </w:rPr>
              <w:t xml:space="preserve">figures from the state</w:t>
            </w:r>
          </w:p>
        </w:tc>
        <w:tc>
          <w:tcPr>
            <w:tcW w:w="1700" w:type="dxa"/>
          </w:tcPr>
          <w:p>
            <w:pPr>
              <w:spacing w:after="0" w:line="220" w:lineRule="auto"/>
            </w:pPr>
            <w:r>
              <w:rPr>
                <w:sz w:val="18"/>
              </w:rPr>
              <w:t xml:space="preserve">figures from the state</w:t>
            </w:r>
          </w:p>
        </w:tc>
        <w:tc>
          <w:tcPr>
            <w:tcW w:w="1760" w:type="dxa"/>
          </w:tcPr>
          <w:p>
            <w:pPr>
              <w:spacing w:after="0" w:line="220" w:lineRule="auto"/>
            </w:pPr>
            <w:r>
              <w:rPr>
                <w:sz w:val="18"/>
              </w:rPr>
              <w:t xml:space="preserve">figures from the perturbed copy; in S5, each figure × (1 + N(0, 0.1)) on 25% of calls</w:t>
            </w:r>
          </w:p>
        </w:tc>
      </w:tr>
      <w:tr>
        <w:trPr>
          <w:cantSplit/>
        </w:trPr>
        <w:tc>
          <w:tcPr>
            <w:tcW w:w="2400" w:type="dxa"/>
          </w:tcPr>
          <w:p>
            <w:pPr>
              <w:spacing w:after="0" w:line="220" w:lineRule="auto"/>
            </w:pPr>
            <w:r>
              <w:rPr>
                <w:sz w:val="18"/>
              </w:rPr>
              <w:t xml:space="preserve">Closed moves (16)</w:t>
            </w:r>
          </w:p>
        </w:tc>
        <w:tc>
          <w:tcPr>
            <w:tcW w:w="1500" w:type="dxa"/>
          </w:tcPr>
          <w:p>
            <w:pPr>
              <w:spacing w:after="0" w:line="220" w:lineRule="auto"/>
            </w:pPr>
            <w:r>
              <w:rPr>
                <w:sz w:val="18"/>
              </w:rPr>
              <w:t xml:space="preserve">working copy of R, forecast on the shadow core</w:t>
            </w:r>
          </w:p>
        </w:tc>
        <w:tc>
          <w:tcPr>
            <w:tcW w:w="2000" w:type="dxa"/>
          </w:tcPr>
          <w:p>
            <w:pPr>
              <w:spacing w:after="0" w:line="220" w:lineRule="auto"/>
            </w:pPr>
            <w:r>
              <w:rPr>
                <w:sz w:val="18"/>
              </w:rPr>
              <w:t xml:space="preserve">same</w:t>
            </w:r>
          </w:p>
        </w:tc>
        <w:tc>
          <w:tcPr>
            <w:tcW w:w="1700" w:type="dxa"/>
          </w:tcPr>
          <w:p>
            <w:pPr>
              <w:spacing w:after="0" w:line="220" w:lineRule="auto"/>
            </w:pPr>
            <w:r>
              <w:rPr>
                <w:sz w:val="18"/>
              </w:rPr>
              <w:t xml:space="preserve">same</w:t>
            </w:r>
          </w:p>
        </w:tc>
        <w:tc>
          <w:tcPr>
            <w:tcW w:w="1760" w:type="dxa"/>
          </w:tcPr>
          <w:p>
            <w:pPr>
              <w:spacing w:after="0" w:line="220" w:lineRule="auto"/>
            </w:pPr>
            <w:r>
              <w:rPr>
                <w:sz w:val="18"/>
              </w:rPr>
              <w:t xml:space="preserve">same</w:t>
            </w:r>
          </w:p>
        </w:tc>
      </w:tr>
    </w:tbl>
    <w:p>
      <w:pPr>
        <w:rPr/>
      </w:pPr>
      <w:r>
        <w:t xml:space="preserve"/>
      </w:r>
    </w:p>
    <w:p>
      <w:pPr>
        <w:pStyle w:val="Heading1"/>
        <w:rPr/>
      </w:pPr>
      <w:r>
        <w:t xml:space="preserve">Components evaluated and components proposed</w:t>
      </w:r>
    </w:p>
    <w:p>
      <w:pPr>
        <w:rPr/>
      </w:pPr>
      <w:r>
        <w:t xml:space="preserve">Table S5 separates the parts of the architecture that the campaign evaluates from those that are design, so that the system-level claims are read at the right level.</w:t>
      </w:r>
    </w:p>
    <w:p>
      <w:pPr>
        <w:pStyle w:val="Caption"/>
      </w:pPr>
      <w:r>
        <w:t xml:space="preserve">Table S5. Components evaluated in the campaign and components proposed as design</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3400"/>
        <w:gridCol w:w="5960"/>
      </w:tblGrid>
      <w:tr>
        <w:trPr>
          <w:cantSplit/>
        </w:trPr>
        <w:tc>
          <w:tcPr>
            <w:tcW w:w="3400" w:type="dxa"/>
            <w:shd w:val="clear" w:color="auto" w:fill="E7E6E6"/>
          </w:tcPr>
          <w:p>
            <w:pPr>
              <w:spacing w:after="0" w:line="220" w:lineRule="auto"/>
            </w:pPr>
            <w:r>
              <w:rPr>
                <w:b/>
                <w:sz w:val="18"/>
              </w:rPr>
              <w:t xml:space="preserve">Component</w:t>
            </w:r>
          </w:p>
        </w:tc>
        <w:tc>
          <w:tcPr>
            <w:tcW w:w="5960" w:type="dxa"/>
            <w:shd w:val="clear" w:color="auto" w:fill="E7E6E6"/>
          </w:tcPr>
          <w:p>
            <w:pPr>
              <w:spacing w:after="0" w:line="220" w:lineRule="auto"/>
            </w:pPr>
            <w:r>
              <w:rPr>
                <w:b/>
                <w:sz w:val="18"/>
              </w:rPr>
              <w:t xml:space="preserve">Status in this study</w:t>
            </w:r>
          </w:p>
        </w:tc>
      </w:tr>
      <w:tr>
        <w:trPr>
          <w:cantSplit/>
        </w:trPr>
        <w:tc>
          <w:tcPr>
            <w:tcW w:w="3400" w:type="dxa"/>
          </w:tcPr>
          <w:p>
            <w:pPr>
              <w:spacing w:after="0" w:line="220" w:lineRule="auto"/>
            </w:pPr>
            <w:r>
              <w:rPr>
                <w:sz w:val="18"/>
              </w:rPr>
              <w:t xml:space="preserve">Hazard model (spread, combustion, suppression, coating maps)</w:t>
            </w:r>
          </w:p>
        </w:tc>
        <w:tc>
          <w:tcPr>
            <w:tcW w:w="5960" w:type="dxa"/>
          </w:tcPr>
          <w:p>
            <w:pPr>
              <w:spacing w:after="0" w:line="220" w:lineRule="auto"/>
            </w:pPr>
            <w:r>
              <w:rPr>
                <w:sz w:val="18"/>
              </w:rPr>
              <w:t xml:space="preserve">Evaluated for footprint shape on four recorded fires; effect operators not calibrated on operations</w:t>
            </w:r>
          </w:p>
        </w:tc>
      </w:tr>
      <w:tr>
        <w:trPr>
          <w:cantSplit/>
        </w:trPr>
        <w:tc>
          <w:tcPr>
            <w:tcW w:w="3400" w:type="dxa"/>
          </w:tcPr>
          <w:p>
            <w:pPr>
              <w:spacing w:after="0" w:line="220" w:lineRule="auto"/>
            </w:pPr>
            <w:r>
              <w:rPr>
                <w:sz w:val="18"/>
              </w:rPr>
              <w:t xml:space="preserve">Closed layer (five seed rules, self-tuning)</w:t>
            </w:r>
          </w:p>
        </w:tc>
        <w:tc>
          <w:tcPr>
            <w:tcW w:w="5960" w:type="dxa"/>
          </w:tcPr>
          <w:p>
            <w:pPr>
              <w:spacing w:after="0" w:line="220" w:lineRule="auto"/>
            </w:pPr>
            <w:r>
              <w:rPr>
                <w:sz w:val="18"/>
              </w:rPr>
              <w:t xml:space="preserve">Evaluated on 150 worlds; the reference of every comparison</w:t>
            </w:r>
          </w:p>
        </w:tc>
      </w:tr>
      <w:tr>
        <w:trPr>
          <w:cantSplit/>
        </w:trPr>
        <w:tc>
          <w:tcPr>
            <w:tcW w:w="3400" w:type="dxa"/>
          </w:tcPr>
          <w:p>
            <w:pPr>
              <w:spacing w:after="0" w:line="220" w:lineRule="auto"/>
            </w:pPr>
            <w:r>
              <w:rPr>
                <w:sz w:val="18"/>
              </w:rPr>
              <w:t xml:space="preserve">Open layer (proposer, variations, gates G1 to G8)</w:t>
            </w:r>
          </w:p>
        </w:tc>
        <w:tc>
          <w:tcPr>
            <w:tcW w:w="5960" w:type="dxa"/>
          </w:tcPr>
          <w:p>
            <w:pPr>
              <w:spacing w:after="0" w:line="220" w:lineRule="auto"/>
            </w:pPr>
            <w:r>
              <w:rPr>
                <w:sz w:val="18"/>
              </w:rPr>
              <w:t xml:space="preserve">Evaluated on 150 worlds with equal-budget controls, gate ablations, model errors, perturbed state, cost functions and budgets</w:t>
            </w:r>
          </w:p>
        </w:tc>
      </w:tr>
      <w:tr>
        <w:trPr>
          <w:cantSplit/>
        </w:trPr>
        <w:tc>
          <w:tcPr>
            <w:tcW w:w="3400" w:type="dxa"/>
          </w:tcPr>
          <w:p>
            <w:pPr>
              <w:spacing w:after="0" w:line="220" w:lineRule="auto"/>
            </w:pPr>
            <w:r>
              <w:rPr>
                <w:sz w:val="18"/>
              </w:rPr>
              <w:t xml:space="preserve">Doctrine record within the incident and transfer</w:t>
            </w:r>
          </w:p>
        </w:tc>
        <w:tc>
          <w:tcPr>
            <w:tcW w:w="5960" w:type="dxa"/>
          </w:tcPr>
          <w:p>
            <w:pPr>
              <w:spacing w:after="0" w:line="220" w:lineRule="auto"/>
            </w:pPr>
            <w:r>
              <w:rPr>
                <w:sz w:val="18"/>
              </w:rPr>
              <w:t xml:space="preserve">Evaluated by a persistence ablation on 150 worlds, on held-out seeds and on three new scenario families</w:t>
            </w:r>
          </w:p>
        </w:tc>
      </w:tr>
      <w:tr>
        <w:trPr>
          <w:cantSplit/>
        </w:trPr>
        <w:tc>
          <w:tcPr>
            <w:tcW w:w="3400" w:type="dxa"/>
          </w:tcPr>
          <w:p>
            <w:pPr>
              <w:spacing w:after="0" w:line="220" w:lineRule="auto"/>
            </w:pPr>
            <w:r>
              <w:rPr>
                <w:sz w:val="18"/>
              </w:rPr>
              <w:t xml:space="preserve">Regional agents and coordinator (pool bound, partition)</w:t>
            </w:r>
          </w:p>
        </w:tc>
        <w:tc>
          <w:tcPr>
            <w:tcW w:w="5960" w:type="dxa"/>
          </w:tcPr>
          <w:p>
            <w:pPr>
              <w:spacing w:after="0" w:line="220" w:lineRule="auto"/>
            </w:pPr>
            <w:r>
              <w:rPr>
                <w:sz w:val="18"/>
              </w:rPr>
              <w:t xml:space="preserve">Evaluated in one process: outcomes with four agents, decision time for 1 to 16 agents and three grid sizes</w:t>
            </w:r>
          </w:p>
        </w:tc>
      </w:tr>
      <w:tr>
        <w:trPr>
          <w:cantSplit/>
        </w:trPr>
        <w:tc>
          <w:tcPr>
            <w:tcW w:w="3400" w:type="dxa"/>
          </w:tcPr>
          <w:p>
            <w:pPr>
              <w:spacing w:after="0" w:line="220" w:lineRule="auto"/>
            </w:pPr>
            <w:r>
              <w:rPr>
                <w:sz w:val="18"/>
              </w:rPr>
              <w:t xml:space="preserve">Operator interface, operator acceptance</w:t>
            </w:r>
          </w:p>
        </w:tc>
        <w:tc>
          <w:tcPr>
            <w:tcW w:w="5960" w:type="dxa"/>
          </w:tcPr>
          <w:p>
            <w:pPr>
              <w:spacing w:after="0" w:line="220" w:lineRule="auto"/>
            </w:pPr>
            <w:r>
              <w:rPr>
                <w:sz w:val="18"/>
              </w:rPr>
              <w:t xml:space="preserve">Design only; no operator study</w:t>
            </w:r>
          </w:p>
        </w:tc>
      </w:tr>
      <w:tr>
        <w:trPr>
          <w:cantSplit/>
        </w:trPr>
        <w:tc>
          <w:tcPr>
            <w:tcW w:w="3400" w:type="dxa"/>
          </w:tcPr>
          <w:p>
            <w:pPr>
              <w:spacing w:after="0" w:line="220" w:lineRule="auto"/>
            </w:pPr>
            <w:r>
              <w:rPr>
                <w:sz w:val="18"/>
              </w:rPr>
              <w:t xml:space="preserve">Distributed operation (delay, partial information, failure)</w:t>
            </w:r>
          </w:p>
        </w:tc>
        <w:tc>
          <w:tcPr>
            <w:tcW w:w="5960" w:type="dxa"/>
          </w:tcPr>
          <w:p>
            <w:pPr>
              <w:spacing w:after="0" w:line="220" w:lineRule="auto"/>
            </w:pPr>
            <w:r>
              <w:rPr>
                <w:sz w:val="18"/>
              </w:rPr>
              <w:t xml:space="preserve">Design only; not modeled</w:t>
            </w:r>
          </w:p>
        </w:tc>
      </w:tr>
      <w:tr>
        <w:trPr>
          <w:cantSplit/>
        </w:trPr>
        <w:tc>
          <w:tcPr>
            <w:tcW w:w="3400" w:type="dxa"/>
          </w:tcPr>
          <w:p>
            <w:pPr>
              <w:spacing w:after="0" w:line="220" w:lineRule="auto"/>
            </w:pPr>
            <w:r>
              <w:rPr>
                <w:sz w:val="18"/>
              </w:rPr>
              <w:t xml:space="preserve">Data assimilation of the shadow core</w:t>
            </w:r>
          </w:p>
        </w:tc>
        <w:tc>
          <w:tcPr>
            <w:tcW w:w="5960" w:type="dxa"/>
          </w:tcPr>
          <w:p>
            <w:pPr>
              <w:spacing w:after="0" w:line="220" w:lineRule="auto"/>
            </w:pPr>
            <w:r>
              <w:rPr>
                <w:sz w:val="18"/>
              </w:rPr>
              <w:t xml:space="preserve">Design only; the experiments initialize the copy from the state</w:t>
            </w:r>
          </w:p>
        </w:tc>
      </w:tr>
    </w:tbl>
    <w:p>
      <w:pPr>
        <w:rPr/>
      </w:pPr>
      <w:r>
        <w:t xml:space="preserve"/>
      </w:r>
    </w:p>
    <w:p>
      <w:pPr>
        <w:pStyle w:val="Heading1"/>
        <w:rPr/>
      </w:pPr>
      <w:r>
        <w:t xml:space="preserve">Marginal contribution of each effect</w:t>
      </w:r>
    </w:p>
    <w:p>
      <w:pPr>
        <w:rPr/>
      </w:pPr>
      <w:r>
        <w:t xml:space="preserve">Table S6 replays the closed layer with the admitted objects of the main campaign installed at their recorded minutes, withholding for each effect every object that uses it together with the later objects that build on a withheld one, on the 150 worlds. The full replay gives 58 ± 13% against the closed layer. The rows are not part of the comparison family of the article; they describe the admitted set rather than test a configuration.</w:t>
      </w:r>
    </w:p>
    <w:p>
      <w:pPr>
        <w:pStyle w:val="Caption"/>
      </w:pPr>
      <w:r>
        <w:t xml:space="preserve">Table S6. Replay of the admitted objects with every object using one effect withheld (Closed extinguishes 52%)</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300"/>
        <w:gridCol w:w="1700"/>
        <w:gridCol w:w="1700"/>
        <w:gridCol w:w="1600"/>
        <w:gridCol w:w="1400"/>
        <w:gridCol w:w="1660"/>
      </w:tblGrid>
      <w:tr>
        <w:trPr>
          <w:cantSplit/>
        </w:trPr>
        <w:tc>
          <w:tcPr>
            <w:tcW w:w="1300" w:type="dxa"/>
            <w:shd w:val="clear" w:color="auto" w:fill="E7E6E6"/>
          </w:tcPr>
          <w:p>
            <w:pPr>
              <w:spacing w:after="0" w:line="220" w:lineRule="auto"/>
            </w:pPr>
            <w:r>
              <w:rPr>
                <w:b/>
                <w:sz w:val="18"/>
              </w:rPr>
              <w:t xml:space="preserve">Effect withheld</w:t>
            </w:r>
          </w:p>
        </w:tc>
        <w:tc>
          <w:tcPr>
            <w:tcW w:w="1700" w:type="dxa"/>
            <w:shd w:val="clear" w:color="auto" w:fill="E7E6E6"/>
          </w:tcPr>
          <w:p>
            <w:pPr>
              <w:spacing w:after="0" w:line="220" w:lineRule="auto"/>
            </w:pPr>
            <w:r>
              <w:rPr>
                <w:b/>
                <w:sz w:val="18"/>
              </w:rPr>
              <w:t xml:space="preserve">Objects kept per world (of 2.39)</w:t>
            </w:r>
          </w:p>
        </w:tc>
        <w:tc>
          <w:tcPr>
            <w:tcW w:w="1700" w:type="dxa"/>
            <w:shd w:val="clear" w:color="auto" w:fill="E7E6E6"/>
          </w:tcPr>
          <w:p>
            <w:pPr>
              <w:spacing w:after="0" w:line="220" w:lineRule="auto"/>
            </w:pPr>
            <w:r>
              <w:rPr>
                <w:b/>
                <w:sz w:val="18"/>
              </w:rPr>
              <w:t xml:space="preserve">Δ burned area vs Closed (%)</w:t>
            </w:r>
          </w:p>
        </w:tc>
        <w:tc>
          <w:tcPr>
            <w:tcW w:w="1600" w:type="dxa"/>
            <w:shd w:val="clear" w:color="auto" w:fill="E7E6E6"/>
          </w:tcPr>
          <w:p>
            <w:pPr>
              <w:spacing w:after="0" w:line="220" w:lineRule="auto"/>
            </w:pPr>
            <w:r>
              <w:rPr>
                <w:b/>
                <w:sz w:val="18"/>
              </w:rPr>
              <w:t xml:space="preserve">better / tie / worse</w:t>
            </w:r>
          </w:p>
        </w:tc>
        <w:tc>
          <w:tcPr>
            <w:tcW w:w="1400" w:type="dxa"/>
            <w:shd w:val="clear" w:color="auto" w:fill="E7E6E6"/>
          </w:tcPr>
          <w:p>
            <w:pPr>
              <w:spacing w:after="0" w:line="220" w:lineRule="auto"/>
            </w:pPr>
            <w:r>
              <w:rPr>
                <w:b/>
                <w:sz w:val="18"/>
              </w:rPr>
              <w:t xml:space="preserve">Extinguished (%)</w:t>
            </w:r>
          </w:p>
        </w:tc>
        <w:tc>
          <w:tcPr>
            <w:tcW w:w="1660" w:type="dxa"/>
            <w:shd w:val="clear" w:color="auto" w:fill="E7E6E6"/>
          </w:tcPr>
          <w:p>
            <w:pPr>
              <w:spacing w:after="0" w:line="220" w:lineRule="auto"/>
            </w:pPr>
            <w:r>
              <w:rPr>
                <w:b/>
                <w:sz w:val="18"/>
              </w:rPr>
              <w:t xml:space="preserve">Δ vs full replay (%)</w:t>
            </w:r>
          </w:p>
        </w:tc>
      </w:tr>
      <w:tr>
        <w:trPr>
          <w:cantSplit/>
        </w:trPr>
        <w:tc>
          <w:tcPr>
            <w:tcW w:w="1300" w:type="dxa"/>
          </w:tcPr>
          <w:p>
            <w:pPr>
              <w:spacing w:after="0" w:line="220" w:lineRule="auto"/>
            </w:pPr>
            <w:r>
              <w:rPr>
                <w:sz w:val="18"/>
              </w:rPr>
              <w:t xml:space="preserve">coat</w:t>
            </w:r>
          </w:p>
        </w:tc>
        <w:tc>
          <w:tcPr>
            <w:tcW w:w="1700" w:type="dxa"/>
          </w:tcPr>
          <w:p>
            <w:pPr>
              <w:spacing w:after="0" w:line="220" w:lineRule="auto"/>
            </w:pPr>
            <w:r>
              <w:rPr>
                <w:sz w:val="18"/>
              </w:rPr>
              <w:t xml:space="preserve">1.21</w:t>
            </w:r>
          </w:p>
        </w:tc>
        <w:tc>
          <w:tcPr>
            <w:tcW w:w="1700" w:type="dxa"/>
          </w:tcPr>
          <w:p>
            <w:pPr>
              <w:spacing w:after="0" w:line="220" w:lineRule="auto"/>
            </w:pPr>
            <w:r>
              <w:rPr>
                <w:sz w:val="18"/>
              </w:rPr>
              <w:t xml:space="preserve">−21 ± 8</w:t>
            </w:r>
          </w:p>
        </w:tc>
        <w:tc>
          <w:tcPr>
            <w:tcW w:w="1600" w:type="dxa"/>
          </w:tcPr>
          <w:p>
            <w:pPr>
              <w:spacing w:after="0" w:line="220" w:lineRule="auto"/>
            </w:pPr>
            <w:r>
              <w:rPr>
                <w:sz w:val="18"/>
              </w:rPr>
              <w:t xml:space="preserve">89 / 50 / 11</w:t>
            </w:r>
          </w:p>
        </w:tc>
        <w:tc>
          <w:tcPr>
            <w:tcW w:w="1400" w:type="dxa"/>
          </w:tcPr>
          <w:p>
            <w:pPr>
              <w:spacing w:after="0" w:line="220" w:lineRule="auto"/>
            </w:pPr>
            <w:r>
              <w:rPr>
                <w:sz w:val="18"/>
              </w:rPr>
              <w:t xml:space="preserve">69</w:t>
            </w:r>
          </w:p>
        </w:tc>
        <w:tc>
          <w:tcPr>
            <w:tcW w:w="1660" w:type="dxa"/>
          </w:tcPr>
          <w:p>
            <w:pPr>
              <w:spacing w:after="0" w:line="220" w:lineRule="auto"/>
            </w:pPr>
            <w:r>
              <w:rPr>
                <w:sz w:val="18"/>
              </w:rPr>
              <w:t xml:space="preserve">+88 ± 31</w:t>
            </w:r>
          </w:p>
        </w:tc>
      </w:tr>
      <w:tr>
        <w:trPr>
          <w:cantSplit/>
        </w:trPr>
        <w:tc>
          <w:tcPr>
            <w:tcW w:w="1300" w:type="dxa"/>
          </w:tcPr>
          <w:p>
            <w:pPr>
              <w:spacing w:after="0" w:line="220" w:lineRule="auto"/>
            </w:pPr>
            <w:r>
              <w:rPr>
                <w:sz w:val="18"/>
              </w:rPr>
              <w:t xml:space="preserve">clear</w:t>
            </w:r>
          </w:p>
        </w:tc>
        <w:tc>
          <w:tcPr>
            <w:tcW w:w="1700" w:type="dxa"/>
          </w:tcPr>
          <w:p>
            <w:pPr>
              <w:spacing w:after="0" w:line="220" w:lineRule="auto"/>
            </w:pPr>
            <w:r>
              <w:rPr>
                <w:sz w:val="18"/>
              </w:rPr>
              <w:t xml:space="preserve">1.79</w:t>
            </w:r>
          </w:p>
        </w:tc>
        <w:tc>
          <w:tcPr>
            <w:tcW w:w="1700" w:type="dxa"/>
          </w:tcPr>
          <w:p>
            <w:pPr>
              <w:spacing w:after="0" w:line="220" w:lineRule="auto"/>
            </w:pPr>
            <w:r>
              <w:rPr>
                <w:sz w:val="18"/>
              </w:rPr>
              <w:t xml:space="preserve">−46 ± 12</w:t>
            </w:r>
          </w:p>
        </w:tc>
        <w:tc>
          <w:tcPr>
            <w:tcW w:w="1600" w:type="dxa"/>
          </w:tcPr>
          <w:p>
            <w:pPr>
              <w:spacing w:after="0" w:line="220" w:lineRule="auto"/>
            </w:pPr>
            <w:r>
              <w:rPr>
                <w:sz w:val="18"/>
              </w:rPr>
              <w:t xml:space="preserve">111 / 29 / 10</w:t>
            </w:r>
          </w:p>
        </w:tc>
        <w:tc>
          <w:tcPr>
            <w:tcW w:w="1400" w:type="dxa"/>
          </w:tcPr>
          <w:p>
            <w:pPr>
              <w:spacing w:after="0" w:line="220" w:lineRule="auto"/>
            </w:pPr>
            <w:r>
              <w:rPr>
                <w:sz w:val="18"/>
              </w:rPr>
              <w:t xml:space="preserve">80</w:t>
            </w:r>
          </w:p>
        </w:tc>
        <w:tc>
          <w:tcPr>
            <w:tcW w:w="1660" w:type="dxa"/>
          </w:tcPr>
          <w:p>
            <w:pPr>
              <w:spacing w:after="0" w:line="220" w:lineRule="auto"/>
            </w:pPr>
            <w:r>
              <w:rPr>
                <w:sz w:val="18"/>
              </w:rPr>
              <w:t xml:space="preserve">+24 ± 16</w:t>
            </w:r>
          </w:p>
        </w:tc>
      </w:tr>
      <w:tr>
        <w:trPr>
          <w:cantSplit/>
        </w:trPr>
        <w:tc>
          <w:tcPr>
            <w:tcW w:w="1300" w:type="dxa"/>
          </w:tcPr>
          <w:p>
            <w:pPr>
              <w:spacing w:after="0" w:line="220" w:lineRule="auto"/>
            </w:pPr>
            <w:r>
              <w:rPr>
                <w:sz w:val="18"/>
              </w:rPr>
              <w:t xml:space="preserve">draft</w:t>
            </w:r>
          </w:p>
        </w:tc>
        <w:tc>
          <w:tcPr>
            <w:tcW w:w="1700" w:type="dxa"/>
          </w:tcPr>
          <w:p>
            <w:pPr>
              <w:spacing w:after="0" w:line="220" w:lineRule="auto"/>
            </w:pPr>
            <w:r>
              <w:rPr>
                <w:sz w:val="18"/>
              </w:rPr>
              <w:t xml:space="preserve">2.01</w:t>
            </w:r>
          </w:p>
        </w:tc>
        <w:tc>
          <w:tcPr>
            <w:tcW w:w="1700" w:type="dxa"/>
          </w:tcPr>
          <w:p>
            <w:pPr>
              <w:spacing w:after="0" w:line="220" w:lineRule="auto"/>
            </w:pPr>
            <w:r>
              <w:rPr>
                <w:sz w:val="18"/>
              </w:rPr>
              <w:t xml:space="preserve">−45 ± 12</w:t>
            </w:r>
          </w:p>
        </w:tc>
        <w:tc>
          <w:tcPr>
            <w:tcW w:w="1600" w:type="dxa"/>
          </w:tcPr>
          <w:p>
            <w:pPr>
              <w:spacing w:after="0" w:line="220" w:lineRule="auto"/>
            </w:pPr>
            <w:r>
              <w:rPr>
                <w:sz w:val="18"/>
              </w:rPr>
              <w:t xml:space="preserve">121 / 20 / 9</w:t>
            </w:r>
          </w:p>
        </w:tc>
        <w:tc>
          <w:tcPr>
            <w:tcW w:w="1400" w:type="dxa"/>
          </w:tcPr>
          <w:p>
            <w:pPr>
              <w:spacing w:after="0" w:line="220" w:lineRule="auto"/>
            </w:pPr>
            <w:r>
              <w:rPr>
                <w:sz w:val="18"/>
              </w:rPr>
              <w:t xml:space="preserve">82</w:t>
            </w:r>
          </w:p>
        </w:tc>
        <w:tc>
          <w:tcPr>
            <w:tcW w:w="1660" w:type="dxa"/>
          </w:tcPr>
          <w:p>
            <w:pPr>
              <w:spacing w:after="0" w:line="220" w:lineRule="auto"/>
            </w:pPr>
            <w:r>
              <w:rPr>
                <w:sz w:val="18"/>
              </w:rPr>
              <w:t xml:space="preserve">+25 ± 16</w:t>
            </w:r>
          </w:p>
        </w:tc>
      </w:tr>
      <w:tr>
        <w:trPr>
          <w:cantSplit/>
        </w:trPr>
        <w:tc>
          <w:tcPr>
            <w:tcW w:w="1300" w:type="dxa"/>
          </w:tcPr>
          <w:p>
            <w:pPr>
              <w:spacing w:after="0" w:line="220" w:lineRule="auto"/>
            </w:pPr>
            <w:r>
              <w:rPr>
                <w:sz w:val="18"/>
              </w:rPr>
              <w:t xml:space="preserve">wet</w:t>
            </w:r>
          </w:p>
        </w:tc>
        <w:tc>
          <w:tcPr>
            <w:tcW w:w="1700" w:type="dxa"/>
          </w:tcPr>
          <w:p>
            <w:pPr>
              <w:spacing w:after="0" w:line="220" w:lineRule="auto"/>
            </w:pPr>
            <w:r>
              <w:rPr>
                <w:sz w:val="18"/>
              </w:rPr>
              <w:t xml:space="preserve">2.00</w:t>
            </w:r>
          </w:p>
        </w:tc>
        <w:tc>
          <w:tcPr>
            <w:tcW w:w="1700" w:type="dxa"/>
          </w:tcPr>
          <w:p>
            <w:pPr>
              <w:spacing w:after="0" w:line="220" w:lineRule="auto"/>
            </w:pPr>
            <w:r>
              <w:rPr>
                <w:sz w:val="18"/>
              </w:rPr>
              <w:t xml:space="preserve">−54 ± 14</w:t>
            </w:r>
          </w:p>
        </w:tc>
        <w:tc>
          <w:tcPr>
            <w:tcW w:w="1600" w:type="dxa"/>
          </w:tcPr>
          <w:p>
            <w:pPr>
              <w:spacing w:after="0" w:line="220" w:lineRule="auto"/>
            </w:pPr>
            <w:r>
              <w:rPr>
                <w:sz w:val="18"/>
              </w:rPr>
              <w:t xml:space="preserve">124 / 18 / 8</w:t>
            </w:r>
          </w:p>
        </w:tc>
        <w:tc>
          <w:tcPr>
            <w:tcW w:w="1400" w:type="dxa"/>
          </w:tcPr>
          <w:p>
            <w:pPr>
              <w:spacing w:after="0" w:line="220" w:lineRule="auto"/>
            </w:pPr>
            <w:r>
              <w:rPr>
                <w:sz w:val="18"/>
              </w:rPr>
              <w:t xml:space="preserve">84</w:t>
            </w:r>
          </w:p>
        </w:tc>
        <w:tc>
          <w:tcPr>
            <w:tcW w:w="1660" w:type="dxa"/>
          </w:tcPr>
          <w:p>
            <w:pPr>
              <w:spacing w:after="0" w:line="220" w:lineRule="auto"/>
            </w:pPr>
            <w:r>
              <w:rPr>
                <w:sz w:val="18"/>
              </w:rPr>
              <w:t xml:space="preserve">+4 ± 2</w:t>
            </w:r>
          </w:p>
        </w:tc>
      </w:tr>
      <w:tr>
        <w:trPr>
          <w:cantSplit/>
        </w:trPr>
        <w:tc>
          <w:tcPr>
            <w:tcW w:w="1300" w:type="dxa"/>
          </w:tcPr>
          <w:p>
            <w:pPr>
              <w:spacing w:after="0" w:line="220" w:lineRule="auto"/>
            </w:pPr>
            <w:r>
              <w:rPr>
                <w:sz w:val="18"/>
              </w:rPr>
              <w:t xml:space="preserve">prime</w:t>
            </w:r>
          </w:p>
        </w:tc>
        <w:tc>
          <w:tcPr>
            <w:tcW w:w="1700" w:type="dxa"/>
          </w:tcPr>
          <w:p>
            <w:pPr>
              <w:spacing w:after="0" w:line="220" w:lineRule="auto"/>
            </w:pPr>
            <w:r>
              <w:rPr>
                <w:sz w:val="18"/>
              </w:rPr>
              <w:t xml:space="preserve">2.15</w:t>
            </w:r>
          </w:p>
        </w:tc>
        <w:tc>
          <w:tcPr>
            <w:tcW w:w="1700" w:type="dxa"/>
          </w:tcPr>
          <w:p>
            <w:pPr>
              <w:spacing w:after="0" w:line="220" w:lineRule="auto"/>
            </w:pPr>
            <w:r>
              <w:rPr>
                <w:sz w:val="18"/>
              </w:rPr>
              <w:t xml:space="preserve">−55 ± 13</w:t>
            </w:r>
          </w:p>
        </w:tc>
        <w:tc>
          <w:tcPr>
            <w:tcW w:w="1600" w:type="dxa"/>
          </w:tcPr>
          <w:p>
            <w:pPr>
              <w:spacing w:after="0" w:line="220" w:lineRule="auto"/>
            </w:pPr>
            <w:r>
              <w:rPr>
                <w:sz w:val="18"/>
              </w:rPr>
              <w:t xml:space="preserve">126 / 18 / 6</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5</w:t>
            </w:r>
          </w:p>
        </w:tc>
      </w:tr>
      <w:tr>
        <w:trPr>
          <w:cantSplit/>
        </w:trPr>
        <w:tc>
          <w:tcPr>
            <w:tcW w:w="1300" w:type="dxa"/>
          </w:tcPr>
          <w:p>
            <w:pPr>
              <w:spacing w:after="0" w:line="220" w:lineRule="auto"/>
            </w:pPr>
            <w:r>
              <w:rPr>
                <w:sz w:val="18"/>
              </w:rPr>
              <w:t xml:space="preserve">ignite</w:t>
            </w:r>
          </w:p>
        </w:tc>
        <w:tc>
          <w:tcPr>
            <w:tcW w:w="1700" w:type="dxa"/>
          </w:tcPr>
          <w:p>
            <w:pPr>
              <w:spacing w:after="0" w:line="220" w:lineRule="auto"/>
            </w:pPr>
            <w:r>
              <w:rPr>
                <w:sz w:val="18"/>
              </w:rPr>
              <w:t xml:space="preserve">2.26</w:t>
            </w:r>
          </w:p>
        </w:tc>
        <w:tc>
          <w:tcPr>
            <w:tcW w:w="1700" w:type="dxa"/>
          </w:tcPr>
          <w:p>
            <w:pPr>
              <w:spacing w:after="0" w:line="220" w:lineRule="auto"/>
            </w:pPr>
            <w:r>
              <w:rPr>
                <w:sz w:val="18"/>
              </w:rPr>
              <w:t xml:space="preserve">−54 ± 13</w:t>
            </w:r>
          </w:p>
        </w:tc>
        <w:tc>
          <w:tcPr>
            <w:tcW w:w="1600" w:type="dxa"/>
          </w:tcPr>
          <w:p>
            <w:pPr>
              <w:spacing w:after="0" w:line="220" w:lineRule="auto"/>
            </w:pPr>
            <w:r>
              <w:rPr>
                <w:sz w:val="18"/>
              </w:rPr>
              <w:t xml:space="preserve">125 / 17 / 8</w:t>
            </w:r>
          </w:p>
        </w:tc>
        <w:tc>
          <w:tcPr>
            <w:tcW w:w="1400" w:type="dxa"/>
          </w:tcPr>
          <w:p>
            <w:pPr>
              <w:spacing w:after="0" w:line="220" w:lineRule="auto"/>
            </w:pPr>
            <w:r>
              <w:rPr>
                <w:sz w:val="18"/>
              </w:rPr>
              <w:t xml:space="preserve">85</w:t>
            </w:r>
          </w:p>
        </w:tc>
        <w:tc>
          <w:tcPr>
            <w:tcW w:w="1660" w:type="dxa"/>
          </w:tcPr>
          <w:p>
            <w:pPr>
              <w:spacing w:after="0" w:line="220" w:lineRule="auto"/>
            </w:pPr>
            <w:r>
              <w:rPr>
                <w:sz w:val="18"/>
              </w:rPr>
              <w:t xml:space="preserve">+2 ± 3</w:t>
            </w:r>
          </w:p>
        </w:tc>
      </w:tr>
      <w:tr>
        <w:trPr>
          <w:cantSplit/>
        </w:trPr>
        <w:tc>
          <w:tcPr>
            <w:tcW w:w="1300" w:type="dxa"/>
          </w:tcPr>
          <w:p>
            <w:pPr>
              <w:spacing w:after="0" w:line="220" w:lineRule="auto"/>
            </w:pPr>
            <w:r>
              <w:rPr>
                <w:sz w:val="18"/>
              </w:rPr>
              <w:t xml:space="preserve">evacuate</w:t>
            </w:r>
          </w:p>
        </w:tc>
        <w:tc>
          <w:tcPr>
            <w:tcW w:w="1700" w:type="dxa"/>
          </w:tcPr>
          <w:p>
            <w:pPr>
              <w:spacing w:after="0" w:line="220" w:lineRule="auto"/>
            </w:pPr>
            <w:r>
              <w:rPr>
                <w:sz w:val="18"/>
              </w:rPr>
              <w:t xml:space="preserve">2.33</w:t>
            </w:r>
          </w:p>
        </w:tc>
        <w:tc>
          <w:tcPr>
            <w:tcW w:w="1700" w:type="dxa"/>
          </w:tcPr>
          <w:p>
            <w:pPr>
              <w:spacing w:after="0" w:line="220" w:lineRule="auto"/>
            </w:pPr>
            <w:r>
              <w:rPr>
                <w:sz w:val="18"/>
              </w:rPr>
              <w:t xml:space="preserve">−55 ± 14</w:t>
            </w:r>
          </w:p>
        </w:tc>
        <w:tc>
          <w:tcPr>
            <w:tcW w:w="1600" w:type="dxa"/>
          </w:tcPr>
          <w:p>
            <w:pPr>
              <w:spacing w:after="0" w:line="220" w:lineRule="auto"/>
            </w:pPr>
            <w:r>
              <w:rPr>
                <w:sz w:val="18"/>
              </w:rPr>
              <w:t xml:space="preserve">124 / 16 / 10</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1</w:t>
            </w:r>
          </w:p>
        </w:tc>
      </w:tr>
    </w:tbl>
    <w:p>
      <w:pPr>
        <w:rPr/>
      </w:pPr>
      <w:r>
        <w:t xml:space="preserve"/>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