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image1.png" ContentType="image/png"/>
  <Override PartName="/word/media/image2.wmf" ContentType="image/x-wmf"/>
  <Override PartName="/word/media/image3.wmf" ContentType="image/x-wmf"/>
  <Override PartName="/word/media/image4.wmf" ContentType="image/x-wmf"/>
  <Override PartName="/word/media/image5.wmf" ContentType="image/x-wmf"/>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1"/>
        <w:spacing w:after="80"/>
      </w:pPr>
      <w:r>
        <w:t xml:space="preserve">Kural tabanlı karar destek sistemlerinde açık karar uzayı: Büyük dil modeli destekli kural üretimi ve belirlenimci doğrulama</w:t>
      </w:r>
    </w:p>
    <w:p>
      <w:pPr>
        <w:pStyle w:val="Title1"/>
        <w:spacing w:after="80"/>
      </w:pPr>
      <w:r>
        <w:t xml:space="preserve">Open Decision Space in Rule-Based Decision Support Systems: Large Language Model Assisted Rule Generation with Deterministic Verification</w:t>
      </w:r>
    </w:p>
    <w:p>
      <w:pPr>
        <w:pStyle w:val="Author"/>
        <w:spacing w:after="80"/>
      </w:pPr>
      <w:r>
        <w:t xml:space="preserve">Çağlar Akman</w:t>
      </w:r>
      <w:r>
        <w:rPr>
          <w:vertAlign w:val="superscript"/>
        </w:rPr>
        <w:t xml:space="preserve">1</w:t>
      </w:r>
      <w:r>
        <w:t xml:space="preserve">, Mehmet Kemal Leblebicioğlu</w:t>
      </w:r>
      <w:r>
        <w:rPr>
          <w:vertAlign w:val="superscript"/>
        </w:rPr>
        <w:t xml:space="preserve">2</w:t>
      </w:r>
    </w:p>
    <w:p>
      <w:pPr>
        <w:pStyle w:val="Affiliation"/>
        <w:spacing w:after="80"/>
      </w:pPr>
      <w:r>
        <w:rPr>
          <w:vertAlign w:val="superscript"/>
        </w:rPr>
        <w:t xml:space="preserve">1</w:t>
      </w:r>
      <w:r>
        <w:t xml:space="preserve">Elektrik ve Elektronik Mühendisliği Bölümü</w:t>
      </w:r>
    </w:p>
    <w:p>
      <w:pPr>
        <w:pStyle w:val="Affiliation"/>
        <w:spacing w:after="80"/>
      </w:pPr>
      <w:r>
        <w:t xml:space="preserve">Orta Doğu Teknik Üniversitesi, Ankara</w:t>
      </w:r>
    </w:p>
    <w:p>
      <w:pPr>
        <w:pStyle w:val="Affiliation"/>
        <w:spacing w:after="80"/>
      </w:pPr>
      <w:r>
        <w:t xml:space="preserve">caglar.akman@metu.edu.tr</w:t>
      </w:r>
    </w:p>
    <w:p>
      <w:pPr>
        <w:pStyle w:val="Affiliation"/>
        <w:spacing w:after="80"/>
      </w:pPr>
      <w:r>
        <w:rPr>
          <w:vertAlign w:val="superscript"/>
        </w:rPr>
        <w:t xml:space="preserve">2</w:t>
      </w:r>
      <w:r>
        <w:t xml:space="preserve">Elektrik ve Elektronik Mühendisliği Bölümü</w:t>
      </w:r>
    </w:p>
    <w:p>
      <w:pPr>
        <w:pStyle w:val="Affiliation"/>
        <w:spacing w:after="80"/>
      </w:pPr>
      <w:r>
        <w:t xml:space="preserve">Orta Doğu Teknik Üniversitesi, Ankara</w:t>
      </w:r>
    </w:p>
    <w:p>
      <w:pPr>
        <w:pStyle w:val="Affiliation"/>
        <w:spacing w:after="80"/>
      </w:pPr>
      <w:r>
        <w:t xml:space="preserve">kleb@metu.edu.tr</w:t>
      </w:r>
    </w:p>
    <w:p>
      <w:pPr>
        <w:sectPr>
          <w:type w:val="continuous"/>
          <w:pgSz w:h="16838" w:w="11906"/>
          <w:pgMar w:bottom="1871" w:footer="0" w:gutter="0" w:header="0" w:left="1134" w:right="1134" w:top="1588"/>
        </w:sectPr>
      </w:pPr>
    </w:p>
    <w:p>
      <w:pPr>
        <w:pStyle w:val="AbstractHeading"/>
        <w:spacing w:after="80"/>
      </w:pPr>
      <w:r>
        <w:t xml:space="preserve">Özetçe</w:t>
      </w:r>
    </w:p>
    <w:p>
      <w:pPr>
        <w:pStyle w:val="BodyTextNext"/>
        <w:spacing w:after="80"/>
      </w:pPr>
      <w:r>
        <w:t xml:space="preserve">Kural tabanlı karar destek sistemleri, tasarım aşamasında yazılmış sabit bir kural kümesiyle çalışır. Önceden öngörülmemiş durumlarda kural tabanı yanıt üretemez; bu nedenle karar uzayı kapalıdır. Bu bildiride, karar uzayını çalışma sırasında genişletebilen üç aşamalı bir uyarlama mimarisi sunulmaktadır. İlk iki aşama, mevcut kuralların parametrelerini ayarlar ve kural tabanını kapsanmayan durumlara doğru büyütür. Bu aşamaların yetersiz kaldığı durumlarda büyük bir dil modeli devreye girer ve sistemin kendi sözlüğüyle sınırlı kalarak yeni kural, kavram ve bileşik müdahale önerir. Öneriler doğrudan uygulanmaz; her aday, biçim, kısıt, ilgililik, kaynak ekonomisi ve benzetim tabanlı kazanç denetimlerinden oluşan belirlenimci doğrulama kapılarından geçmek zorundadır. Hangi aşamanın çağrılacağı, bağlamsal bir öğrenici tarafından belirlenir. Orman yangını müdahalesi örneğinde mimari, 6140 karar çevriminde 47 üretken öneriyi kabul etmiş ve yanan alanı statik tabana kıyasla yarıya indirmiştir.</w:t>
      </w:r>
    </w:p>
    <w:p>
      <w:pPr>
        <w:pStyle w:val="AbstractHeading"/>
        <w:spacing w:after="80"/>
      </w:pPr>
      <w:r>
        <w:t xml:space="preserve">Abstract</w:t>
      </w:r>
    </w:p>
    <w:p>
      <w:pPr>
        <w:pStyle w:val="BodyTextNext"/>
        <w:spacing w:after="80"/>
      </w:pPr>
      <w:r>
        <w:t xml:space="preserve">Rule-based decision support systems operate with a fixed rule set written at design time. In unforeseen situations the rule base provides no response; the decision space is therefore closed. This paper presents a three-stage adaptation architecture that can extend the decision space at run time. The first two stages tune the parameters of existing rules and grow the rule base toward uncovered situations. Where these stages fall short, a large language model is engaged; restricted to the system’s own vocabulary, it proposes new rules, concepts, and composite interventions. Proposals are never applied directly; every candidate must pass deterministic verification gates covering format, constraints, relevance, resource economy, and simulation-based gain. The stage to be invoked is selected by a contextual learner. In a wildfire response case study, the architecture admitted 47 generative proposals over 6140 decision cycles and halved the burned area relative to the static base.</w:t>
      </w:r>
    </w:p>
    <w:p>
      <w:pPr>
        <w:pStyle w:val="BodyTextNext"/>
        <w:keepNext/>
        <w:spacing w:before="200" w:after="100"/>
        <w:jc w:val="center"/>
      </w:pPr>
      <w:r>
        <w:rPr>
          <w:bCs/>
          <w:b/>
        </w:rPr>
        <w:t xml:space="preserve">1. Giriş</w:t>
      </w:r>
    </w:p>
    <w:p>
      <w:pPr>
        <w:pStyle w:val="BodyTextNext"/>
        <w:spacing w:after="80"/>
      </w:pPr>
      <w:r>
        <w:t xml:space="preserve">Kural tabanlı karar destek sistemleri (KDS), uzman bilgisini EĞER-İSE biçimindeki kurallarla temsil eder. Bu yapı, her önerinin hangi kuraldan ve hangi gözlemden kaynaklandığının izlenebilmesini sağlar. Ancak kural kümesi tasarım aşamasında yazılır ve çalışma sırasında değişmez; sistem yalnızca kurallarının öngördüğü durumlara yanıt verebilir. Gerçek operasyonlarda ise sensör kayıpları, beklenmedik dinamikler ve önceden görülmemiş durum bileşimleri sık karşılaşılan olaylardır. Böyle durumlarda ya hiçbir kural ateşlenmez ya da ateşlenen kurallar yetersiz kalır. Öğrenilmiş kara kutu politikalar bu katılığı giderebilir; ancak önerilerinin gerekçesi izlenemediği için kritik alanlarda güven ve hesap verebilirlik sorunlarına yol açar [1, 2].</w:t>
      </w:r>
    </w:p>
    <w:p>
      <w:pPr>
        <w:pStyle w:val="BodyTextNext"/>
        <w:spacing w:after="80"/>
      </w:pPr>
      <w:r>
        <w:t xml:space="preserve">Bu bildiride, karar uzayını çalışma sırasında açık tutan ve denetlenebilirliği koruyan üç aşamalı bir uyarlama mimarisi önerilmektedir. Birinci aşama, mevcut kuralların sayısal parametrelerini ayarlayan gelişen bulanık katmandır [3]. İkinci aşama, kural tabanını kapsanmayan durumlara doğru büyütür. Üçüncü aşamada büyük bir dil modeli (BDM) [4] devreye girer ve sistemin kapalı sözlüğüyle sınırlı kalarak yeni bir kural taslağı önerir. Öneri, uygulanmadan önce tamamı belirlenimci olan bir doğrulama kapısı dizisinden ve yeterlilik (satisficing) temelli bir kabul denetiminden [5] geçmek zorundadır. Yeni bilgi modelden gelir; kabul kararı ise yalnızca doğrulama sonuçlarına dayanır.</w:t>
      </w:r>
    </w:p>
    <w:p>
      <w:pPr>
        <w:pStyle w:val="BodyTextNext"/>
        <w:spacing w:after="80"/>
      </w:pPr>
      <w:r>
        <w:t xml:space="preserve">Mimari belirli bir uygulama alanına bağlı değildir; durum soyutlaması, kapalı bir müdahale sözlüğü, karar mantığından ayrık bir gölge benzetim ve sayısal bir maliyet ölçüsü bulunan her KDS’de kullanılabilir. Bölüm 2’de genel çerçeve tanımlanmakta, Bölüm 3’te uyarlama aşamaları ve aşama seçimi, Bölüm 4’te üretken öneri mekanizması ile doğrulama kapıları anlatılmaktadır. Bölüm 5 orman yangını müdahalesi üzerindeki kullanım örneğini, Bölüm 6 yöntemin genellik koşullarını ve sınırlarını, Bölüm 7 ise sonuçları sunmaktadır.</w:t>
      </w:r>
    </w:p>
    <w:p>
      <w:pPr>
        <w:pStyle w:val="BodyTextNext"/>
        <w:keepNext/>
        <w:spacing w:before="200" w:after="100"/>
        <w:jc w:val="center"/>
      </w:pPr>
      <w:r>
        <w:rPr>
          <w:bCs/>
          <w:b/>
        </w:rPr>
        <w:t xml:space="preserve">2. Genel çerçeve</w:t>
      </w:r>
    </w:p>
    <w:p>
      <w:pPr>
        <w:pStyle w:val="BodyTextNext"/>
        <w:spacing w:after="80"/>
      </w:pPr>
      <w:r>
        <w:t xml:space="preserve">Ele alınan KDS sınıfı üç bileşenle tanımlanır. Birinci bileşen, ham gözlemleri az sayıda karar kavramına indirgeyen durum soyutlamasıdır. Kavram etkinlikleri</w:t>
      </w:r>
      <w:r>
        <w:t xml:space="preserve"> </w:t>
      </w:r>
      <m:oMath>
        <m:r>
          <m:t>a</m:t>
        </m:r>
        <m:r>
          <m:rPr>
            <m:sty m:val="p"/>
          </m:rPr>
          <m:t>∈</m:t>
        </m:r>
        <m:d>
          <m:dPr>
            <m:begChr m:val="["/>
            <m:sepChr m:val=""/>
            <m:endChr m:val="]"/>
            <m:grow/>
          </m:dPr>
          <m:e>
            <m:r>
              <m:t>0</m:t>
            </m:r>
            <m:r>
              <m:rPr>
                <m:sty m:val="p"/>
              </m:rPr>
              <m:t>,</m:t>
            </m:r>
            <m:r>
              <m:t>1</m:t>
            </m:r>
          </m:e>
        </m:d>
      </m:oMath>
      <w:r>
        <w:t xml:space="preserve"> </w:t>
      </w:r>
      <w:r>
        <w:t xml:space="preserve">aralığında değer alır ve her kavram beş dilsel terime (ÇD, D, O, Y, ÇY) bölümlenmiştir. İkinci bileşen, kavramlar üzerinde yazılmış sıfırıncı dereceden Takagi-Sugeno (TS) türünde [6] seyrek bir kural tabanıdır. Her kuralın sonucu, kapalı bir sözlükteki müdahale kanallarına</w:t>
      </w:r>
      <w:r>
        <w:t xml:space="preserve"> </w:t>
      </w:r>
      <m:oMath>
        <m:d>
          <m:dPr>
            <m:begChr m:val="["/>
            <m:sepChr m:val=""/>
            <m:endChr m:val="]"/>
            <m:grow/>
          </m:dPr>
          <m:e>
            <m:r>
              <m:t>0</m:t>
            </m:r>
            <m:r>
              <m:rPr>
                <m:sty m:val="p"/>
              </m:rPr>
              <m:t>,</m:t>
            </m:r>
            <m:r>
              <m:t>1</m:t>
            </m:r>
          </m:e>
        </m:d>
      </m:oMath>
      <w:r>
        <w:t xml:space="preserve"> </w:t>
      </w:r>
      <w:r>
        <w:t xml:space="preserve">aralığında şiddet değerleri atar; saha kararı, kuralların ateşlenme ağırlıklı ortalamasıyla elde edilir. Üçüncü bileşen, karar mantığından ayrık tutulan bir gölge benzetimdir. Her aday karar, uygulanmadan önce bu kopya üzerinde öngörü ufku boyunca koşturulur ve sonuç, normalize bir fiziksel maliyet</w:t>
      </w:r>
      <w:r>
        <w:t xml:space="preserve"> </w:t>
      </w:r>
      <m:oMath>
        <m:sSub>
          <m:e>
            <m:acc>
              <m:accPr>
                <m:chr m:val="̂"/>
              </m:accPr>
              <m:e>
                <m:r>
                  <m:t>J</m:t>
                </m:r>
              </m:e>
            </m:acc>
          </m:e>
          <m:sub>
            <m:r>
              <m:t>p</m:t>
            </m:r>
            <m:r>
              <m:t>h</m:t>
            </m:r>
            <m:r>
              <m:t>y</m:t>
            </m:r>
            <m:r>
              <m:t>s</m:t>
            </m:r>
          </m:sub>
        </m:sSub>
        <m:r>
          <m:rPr>
            <m:sty m:val="p"/>
          </m:rPr>
          <m:t>∈</m:t>
        </m:r>
        <m:d>
          <m:dPr>
            <m:begChr m:val="["/>
            <m:sepChr m:val=""/>
            <m:endChr m:val="]"/>
            <m:grow/>
          </m:dPr>
          <m:e>
            <m:r>
              <m:t>0</m:t>
            </m:r>
            <m:r>
              <m:rPr>
                <m:sty m:val="p"/>
              </m:rPr>
              <m:t>,</m:t>
            </m:r>
            <m:r>
              <m:t>1</m:t>
            </m:r>
          </m:e>
        </m:d>
      </m:oMath>
      <w:r>
        <w:t xml:space="preserve"> </w:t>
      </w:r>
      <w:r>
        <w:t xml:space="preserve">ile puanlanır. Ayakta duran karar, yeterlilik ilkesine göre [5] değerlendirilir: Öngörülen maliyet belirlenen sınırın altındaysa karar yeterli sayılır ve en iyi çözüm aranmaz.</w:t>
      </w:r>
    </w:p>
    <w:p>
      <w:pPr>
        <w:pStyle w:val="BodyTextNext"/>
        <w:spacing w:after="80"/>
      </w:pPr>
      <w:r>
        <w:t xml:space="preserve">Uyarlama gereksinimi iki belirtiyle ortaya çıkar.</w:t>
      </w:r>
      <w:r>
        <w:t xml:space="preserve"> </w:t>
      </w:r>
      <w:r>
        <w:rPr>
          <w:bCs/>
          <w:b/>
        </w:rPr>
        <w:t xml:space="preserve">Maliyet açığında</w:t>
      </w:r>
      <w:r>
        <w:t xml:space="preserve"> </w:t>
      </w:r>
      <w:r>
        <w:t xml:space="preserve">öngörülen maliyet yeterlilik sınırını aşar; ancak bir kural hâlâ ateşlenmektedir. Kurallar doğru eylemi önermekte, şiddetleri yetersiz kalmaktadır.</w:t>
      </w:r>
      <w:r>
        <w:t xml:space="preserve"> </w:t>
      </w:r>
      <w:r>
        <w:rPr>
          <w:bCs/>
          <w:b/>
        </w:rPr>
        <w:t xml:space="preserve">Kapsama boşluğunda</w:t>
      </w:r>
      <w:r>
        <w:t xml:space="preserve"> </w:t>
      </w:r>
      <w:r>
        <w:t xml:space="preserve">ise süreç etkinken hiçbir kural eşik üzerinde ateşlenmez; taban durumu tanımamaktadır. Bu iki belirti, uygulanabilecek aşamaları da belirler; kapsanmayan bir bileşimde ayarlanacak kural bulunmadığından önce yeni bir kural oluşturulması gerekir.</w:t>
      </w:r>
    </w:p>
    <w:p>
      <w:pPr>
        <w:pStyle w:val="BodyTextNext"/>
        <w:keepNext/>
        <w:spacing w:before="200" w:after="100"/>
        <w:jc w:val="center"/>
      </w:pPr>
      <w:r>
        <w:rPr>
          <w:bCs/>
          <w:b/>
        </w:rPr>
        <w:t xml:space="preserve">3. Aşamalı uyarlama</w:t>
      </w:r>
    </w:p>
    <w:p>
      <w:pPr>
        <w:pStyle w:val="BodyTextNext"/>
        <w:spacing w:after="80"/>
      </w:pPr>
      <w:r>
        <w:t xml:space="preserve">Uyarlama, etkisi kademeli olarak artan üç aşama halinde düzenlenmiştir (</w:t>
      </w:r>
      <w:fldSimple w:instr=" REF _RefSek1 \h ">
        <w:r>
          <w:t>Şekil 1</w:t>
        </w:r>
      </w:fldSimple>
      <w:r>
        <w:t xml:space="preserve">). Her aşamanın ürettiği değişiklik bir aday olarak ele alınır: Aday, gölge benzetimde öngörülen fiziksel maliyeti düşürüyorsa tutulur, aksi halde geri alınır:</w:t>
      </w:r>
    </w:p>
    <w:p>
      <w:pPr>
        <w:pStyle w:val="BodyTextNext"/>
      </w:pPr>
      <m:oMathPara>
        <m:oMathParaPr>
          <m:jc m:val="center"/>
        </m:oMathParaPr>
        <m:oMath>
          <m:r>
            <m:t>t</m:t>
          </m:r>
          <m:r>
            <m:t>u</m:t>
          </m:r>
          <m:r>
            <m:t>t</m:t>
          </m:r>
          <m:r>
            <m:t>u</m:t>
          </m:r>
          <m:r>
            <m:t>l</m:t>
          </m:r>
          <m:r>
            <m:t>u</m:t>
          </m:r>
          <m:r>
            <m:t>r</m:t>
          </m:r>
          <m:r>
            <m:rPr>
              <m:sty m:val="p"/>
            </m:rPr>
            <m:t>⇔</m:t>
          </m:r>
          <m:r>
            <m:t>Δ</m:t>
          </m:r>
          <m:sSub>
            <m:e>
              <m:acc>
                <m:accPr>
                  <m:chr m:val="̂"/>
                </m:accPr>
                <m:e>
                  <m:r>
                    <m:t>J</m:t>
                  </m:r>
                </m:e>
              </m:acc>
            </m:e>
            <m:sub>
              <m:r>
                <m:t>p</m:t>
              </m:r>
              <m:r>
                <m:t>h</m:t>
              </m:r>
              <m:r>
                <m:t>y</m:t>
              </m:r>
              <m:r>
                <m:t>s</m:t>
              </m:r>
            </m:sub>
          </m:sSub>
          <m:r>
            <m:rPr>
              <m:sty m:val="p"/>
            </m:rPr>
            <m:t>&lt;</m:t>
          </m:r>
          <m:r>
            <m:t>0</m:t>
          </m:r>
          <m:r>
            <m:t> </m:t>
          </m:r>
          <m:r>
            <m:t> </m:t>
          </m:r>
          <m:d>
            <m:dPr>
              <m:begChr m:val="("/>
              <m:sepChr m:val=""/>
              <m:endChr m:val=")"/>
              <m:grow/>
            </m:dPr>
            <m:e>
              <m:r>
                <m:t>1</m:t>
              </m:r>
            </m:e>
          </m:d>
        </m:oMath>
      </m:oMathPara>
    </w:p>
    <w:p>
      <w:pPr>
        <w:sectPr>
          <w:type w:val="continuous"/>
          <w:pgSz w:h="16838" w:w="11906"/>
          <w:pgMar w:bottom="1871" w:footer="0" w:gutter="0" w:header="0" w:left="1134" w:right="1134" w:top="1588"/>
          <w:cols w:num="2" w:space="566" w:equalWidth="true" w:sep="false"/>
        </w:sectPr>
      </w:pPr>
    </w:p>
    <w:p>
      <w:pPr>
        <w:pStyle w:val="BodyTextNext"/>
        <w:keepNext/>
        <w:spacing w:before="80" w:after="40"/>
        <w:jc w:val="center"/>
      </w:pPr>
      <w:r>
        <w:drawing>
          <wp:inline>
            <wp:extent cx="5943600" cy="3362999"/>
            <wp:effectExtent b="0" l="0" r="0" t="0"/>
            <wp:docPr descr="" title="" id="21" name="Picture"/>
            <a:graphic>
              <a:graphicData uri="http://schemas.openxmlformats.org/drawingml/2006/picture">
                <pic:pic>
                  <pic:nvPicPr>
                    <pic:cNvPr descr="sek1.png" id="22" name="Picture"/>
                    <pic:cNvPicPr>
                      <a:picLocks noChangeArrowheads="1" noChangeAspect="1"/>
                    </pic:cNvPicPr>
                  </pic:nvPicPr>
                  <pic:blipFill>
                    <a:blip r:embed="rId20"/>
                    <a:stretch>
                      <a:fillRect/>
                    </a:stretch>
                  </pic:blipFill>
                  <pic:spPr bwMode="auto">
                    <a:xfrm>
                      <a:off x="0" y="0"/>
                      <a:ext cx="5943600" cy="3362999"/>
                    </a:xfrm>
                    <a:prstGeom prst="rect">
                      <a:avLst/>
                    </a:prstGeom>
                    <a:noFill/>
                    <a:ln w="9525">
                      <a:noFill/>
                      <a:headEnd/>
                      <a:tailEnd/>
                    </a:ln>
                  </pic:spPr>
                </pic:pic>
              </a:graphicData>
            </a:graphic>
          </wp:inline>
        </w:drawing>
      </w:r>
    </w:p>
    <w:p>
      <w:pPr>
        <w:pStyle w:val="Figurecaption"/>
        <w:spacing w:before="40" w:after="120"/>
        <w:jc w:val="center"/>
      </w:pPr>
      <w:bookmarkStart w:id="901" w:name="_RefSek1"/>
      <w:r>
        <w:rPr>
          <w:bCs/>
          <w:b/>
        </w:rPr>
        <w:t xml:space="preserve">Şekil 1</w:t>
      </w:r>
      <w:bookmarkEnd w:id="901"/>
      <w:r>
        <w:rPr>
          <w:bCs/>
          <w:b/>
        </w:rPr>
        <w:t xml:space="preserve">:</w:t>
      </w:r>
      <w:r>
        <w:t xml:space="preserve"> </w:t>
      </w:r>
      <w:r>
        <w:t xml:space="preserve">Aşamalı uyarlama döngüsü: Değer tabanlı seçici bir aşama çağırır, aday değişiklik doğrulama kapılarından geçer ve yalnızca kabul edilirse kural tabanına işlenir</w:t>
      </w:r>
    </w:p>
    <w:p>
      <w:pPr>
        <w:sectPr>
          <w:type w:val="continuous"/>
          <w:pgSz w:h="16838" w:w="11906"/>
          <w:pgMar w:bottom="1871" w:footer="0" w:gutter="0" w:header="0" w:left="1134" w:right="1134" w:top="1588"/>
        </w:sectPr>
      </w:pPr>
    </w:p>
    <w:p>
      <w:pPr>
        <w:pStyle w:val="BodyTextNext"/>
        <w:keepNext/>
        <w:spacing w:before="180" w:after="80"/>
        <w:jc w:val="left"/>
      </w:pPr>
      <w:r>
        <w:rPr>
          <w:bCs/>
          <w:b/>
        </w:rPr>
        <w:t xml:space="preserve">3.1. Aşama ①: Parametre uyarlaması</w:t>
      </w:r>
    </w:p>
    <w:p>
      <w:pPr>
        <w:pStyle w:val="BodyTextNext"/>
        <w:spacing w:after="80"/>
      </w:pPr>
      <w:r>
        <w:t xml:space="preserve">Gelişen bulanık çıkarım sisteminin (evFIS) [3] parametre katmanı, tabana yeni bir öğe eklemeden mevcut kuralları ayarlar. Bu aşamanın iki işlemi vardır.</w:t>
      </w:r>
      <w:r>
        <w:t xml:space="preserve"> </w:t>
      </w:r>
      <w:r>
        <w:rPr>
          <w:bCs/>
          <w:b/>
        </w:rPr>
        <w:t xml:space="preserve">Sonuç adımı</w:t>
      </w:r>
      <w:r>
        <w:t xml:space="preserve">, bir kuralın</w:t>
      </w:r>
      <w:r>
        <w:t xml:space="preserve"> </w:t>
      </w:r>
      <m:oMath>
        <m:r>
          <m:t>m</m:t>
        </m:r>
      </m:oMath>
      <w:r>
        <w:t xml:space="preserve"> </w:t>
      </w:r>
      <w:r>
        <w:t xml:space="preserve">kanalına atadığı</w:t>
      </w:r>
      <w:r>
        <w:t xml:space="preserve"> </w:t>
      </w:r>
      <m:oMath>
        <m:sSub>
          <m:e>
            <m:r>
              <m:t>v</m:t>
            </m:r>
          </m:e>
          <m:sub>
            <m:r>
              <m:t>r</m:t>
            </m:r>
            <m:r>
              <m:rPr>
                <m:sty m:val="p"/>
              </m:rPr>
              <m:t>,</m:t>
            </m:r>
            <m:r>
              <m:t>m</m:t>
            </m:r>
          </m:sub>
        </m:sSub>
      </m:oMath>
      <w:r>
        <w:t xml:space="preserve"> </w:t>
      </w:r>
      <w:r>
        <w:t xml:space="preserve">şiddetini</w:t>
      </w:r>
      <w:r>
        <w:t xml:space="preserve"> </w:t>
      </w:r>
      <m:oMath>
        <m:r>
          <m:t>δ</m:t>
        </m:r>
        <m:r>
          <m:rPr>
            <m:sty m:val="p"/>
          </m:rPr>
          <m:t>=</m:t>
        </m:r>
        <m:r>
          <m:t>0</m:t>
        </m:r>
        <m:r>
          <m:rPr>
            <m:sty m:val="p"/>
          </m:rPr>
          <m:t>,</m:t>
        </m:r>
        <m:r>
          <m:t>05</m:t>
        </m:r>
      </m:oMath>
      <w:r>
        <w:t xml:space="preserve"> </w:t>
      </w:r>
      <w:r>
        <w:t xml:space="preserve">kadar artırır veya azaltır ve sonucu birim aralığa kırpar:</w:t>
      </w:r>
    </w:p>
    <w:p>
      <w:pPr>
        <w:pStyle w:val="BodyTextNext"/>
      </w:pPr>
      <m:oMathPara>
        <m:oMathParaPr>
          <m:jc m:val="center"/>
        </m:oMathParaPr>
        <m:oMath>
          <m:sSub>
            <m:e>
              <m:r>
                <m:t>v</m:t>
              </m:r>
            </m:e>
            <m:sub>
              <m:r>
                <m:t>r</m:t>
              </m:r>
              <m:r>
                <m:rPr>
                  <m:sty m:val="p"/>
                </m:rPr>
                <m:t>,</m:t>
              </m:r>
              <m:r>
                <m:t>m</m:t>
              </m:r>
            </m:sub>
          </m:sSub>
          <m:r>
            <m:rPr>
              <m:sty m:val="p"/>
            </m:rPr>
            <m:t>←</m:t>
          </m:r>
          <m:r>
            <m:t>c</m:t>
          </m:r>
          <m:r>
            <m:t>l</m:t>
          </m:r>
          <m:r>
            <m:t>i</m:t>
          </m:r>
          <m:sSub>
            <m:e>
              <m:r>
                <m:t>p</m:t>
              </m:r>
            </m:e>
            <m:sub>
              <m:r>
                <m:t>0</m:t>
              </m:r>
              <m:r>
                <m:rPr>
                  <m:sty m:val="p"/>
                </m:rPr>
                <m:t>,</m:t>
              </m:r>
              <m:r>
                <m:t>1</m:t>
              </m:r>
            </m:sub>
          </m:sSub>
          <m:d>
            <m:dPr>
              <m:begChr m:val="("/>
              <m:sepChr m:val=""/>
              <m:endChr m:val=")"/>
              <m:grow/>
            </m:dPr>
            <m:e>
              <m:sSub>
                <m:e>
                  <m:r>
                    <m:t>v</m:t>
                  </m:r>
                </m:e>
                <m:sub>
                  <m:r>
                    <m:t>r</m:t>
                  </m:r>
                  <m:r>
                    <m:rPr>
                      <m:sty m:val="p"/>
                    </m:rPr>
                    <m:t>,</m:t>
                  </m:r>
                  <m:r>
                    <m:t>m</m:t>
                  </m:r>
                </m:sub>
              </m:sSub>
              <m:r>
                <m:rPr>
                  <m:sty m:val="p"/>
                </m:rPr>
                <m:t>±</m:t>
              </m:r>
              <m:r>
                <m:t>δ</m:t>
              </m:r>
            </m:e>
          </m:d>
          <m:r>
            <m:rPr>
              <m:sty m:val="p"/>
            </m:rPr>
            <m:t>,</m:t>
          </m:r>
          <m:r>
            <m:t> </m:t>
          </m:r>
          <m:r>
            <m:t>m</m:t>
          </m:r>
          <m:r>
            <m:rPr>
              <m:sty m:val="p"/>
            </m:rPr>
            <m:t>∈</m:t>
          </m:r>
          <m:r>
            <m:t>c</m:t>
          </m:r>
          <m:r>
            <m:t>o</m:t>
          </m:r>
          <m:r>
            <m:t>n</m:t>
          </m:r>
          <m:r>
            <m:t>s</m:t>
          </m:r>
          <m:d>
            <m:dPr>
              <m:begChr m:val="("/>
              <m:sepChr m:val=""/>
              <m:endChr m:val=")"/>
              <m:grow/>
            </m:dPr>
            <m:e>
              <m:r>
                <m:t>r</m:t>
              </m:r>
            </m:e>
          </m:d>
          <m:r>
            <m:t> </m:t>
          </m:r>
          <m:r>
            <m:t> </m:t>
          </m:r>
          <m:d>
            <m:dPr>
              <m:begChr m:val="("/>
              <m:sepChr m:val=""/>
              <m:endChr m:val=")"/>
              <m:grow/>
            </m:dPr>
            <m:e>
              <m:r>
                <m:t>2</m:t>
              </m:r>
            </m:e>
          </m:d>
        </m:oMath>
      </m:oMathPara>
    </w:p>
    <w:p>
      <w:pPr>
        <w:pStyle w:val="BodyTextNext"/>
        <w:spacing w:after="80"/>
      </w:pPr>
      <w:r>
        <w:t xml:space="preserve">Adım, en güçlü ateşlenen iki kurala uygulanır; küçük bir tabanda tek bir kural her çevrimde baskın olacağından ikinci kural aksi halde hiç ayarlanamaz.</w:t>
      </w:r>
      <w:r>
        <w:t xml:space="preserve"> </w:t>
      </w:r>
      <w:r>
        <w:rPr>
          <w:bCs/>
          <w:b/>
        </w:rPr>
        <w:t xml:space="preserve">Sınır kaydırma</w:t>
      </w:r>
      <w:r>
        <w:t xml:space="preserve"> </w:t>
      </w:r>
      <w:r>
        <w:t xml:space="preserve">işlemi ise komşu iki dilsel terimin paylaştığı geçiş kenarını birlikte taşır. Birlik bölüntüsü korunur; ancak iki terimi kullanan bütün kuralların okuması aynı anda değiştiğinden bu işlem, sonuç adımları denenmeden uygulanmaz.</w:t>
      </w:r>
    </w:p>
    <w:p>
      <w:pPr>
        <w:pStyle w:val="BodyTextNext"/>
        <w:keepNext/>
        <w:spacing w:before="180" w:after="80"/>
        <w:jc w:val="left"/>
      </w:pPr>
      <w:r>
        <w:rPr>
          <w:bCs/>
          <w:b/>
        </w:rPr>
        <w:t xml:space="preserve">3.2. Aşama ②: Çözünürlük büyütme</w:t>
      </w:r>
    </w:p>
    <w:p>
      <w:pPr>
        <w:pStyle w:val="BodyTextNext"/>
        <w:spacing w:after="80"/>
      </w:pPr>
      <w:r>
        <w:t xml:space="preserve">İkinci aşama kural tabanını büyütür ve mevcut kuralları değiştirmez. Birinci işlemde, en yüksek etkinliğe sahip iki kavram ve bunların baskın terimleri, üzerinde kural bulunmayan bir öncül bileşimini tanımlıyorsa bu bileşime yeni bir kural yazılır. Boş bir bileşim doldurulduğundan aday, öngörüyü kötüleştirmediği sürece kabul edilir. İkinci işlemde terim kümesi genişletilir. En güçlü kavramın hiçbir teriminin üyeliği</w:t>
      </w:r>
      <w:r>
        <w:t xml:space="preserve"> </w:t>
      </w:r>
      <m:oMath>
        <m:r>
          <m:t>0</m:t>
        </m:r>
        <m:r>
          <m:rPr>
            <m:sty m:val="p"/>
          </m:rPr>
          <m:t>,</m:t>
        </m:r>
        <m:r>
          <m:t>62</m:t>
        </m:r>
      </m:oMath>
      <w:r>
        <w:t xml:space="preserve"> </w:t>
      </w:r>
      <w:r>
        <w:t xml:space="preserve">değerine ulaşmıyorsa okuma iki terimin arasında kalmıştır ve sonuç ayarı bu iki durumu birbirinden ayıramaz. Bu durumda, net okumaya ortalanmış dar bir terim bölüntüye eklenir ve kural, inceltilmiş bileşime yazılır. İfade edilebilir bileşim sayısı terim sayılarının çarpımına eşit olduğundan her ekleme arama uzayını da büyütür; bu nedenle genişletme yalnızca belirti üzerine yapılır.</w:t>
      </w:r>
    </w:p>
    <w:p>
      <w:pPr>
        <w:pStyle w:val="BodyTextNext"/>
        <w:keepNext/>
        <w:spacing w:before="180" w:after="80"/>
        <w:jc w:val="left"/>
      </w:pPr>
      <w:r>
        <w:rPr>
          <w:bCs/>
          <w:b/>
        </w:rPr>
        <w:t xml:space="preserve">3.3. Değer tabanlı aşama seçimi</w:t>
      </w:r>
    </w:p>
    <w:p>
      <w:pPr>
        <w:pStyle w:val="BodyTextNext"/>
        <w:spacing w:after="80"/>
      </w:pPr>
      <w:r>
        <w:t xml:space="preserve">Aşama seçimi sabit bir sıraya bağlı değildir; seçim, bağlamsal haydut (contextual bandit) türünde bir öğrenici ile yapılır [7]. Bağlam, maliyet açığının düzeyi (düşük, orta, yüksek) ile kapsama boşluğu bilgisinden oluşur. Yalnızca kapsama boşluğu görülen durumlarda, kural oluşturabilen aşamalara izin verilir. Öğrenici, her bağlam-aşama çifti için bir değer</w:t>
      </w:r>
      <w:r>
        <w:t xml:space="preserve"> </w:t>
      </w:r>
      <m:oMath>
        <m:r>
          <m:t>H</m:t>
        </m:r>
        <m:d>
          <m:dPr>
            <m:begChr m:val="("/>
            <m:sepChr m:val=""/>
            <m:endChr m:val=")"/>
            <m:grow/>
          </m:dPr>
          <m:e>
            <m:r>
              <m:t>e</m:t>
            </m:r>
            <m:r>
              <m:rPr>
                <m:sty m:val="p"/>
              </m:rPr>
              <m:t>,</m:t>
            </m:r>
            <m:r>
              <m:t>q</m:t>
            </m:r>
          </m:e>
        </m:d>
      </m:oMath>
      <w:r>
        <w:t xml:space="preserve"> </w:t>
      </w:r>
      <w:r>
        <w:t xml:space="preserve">tutar;</w:t>
      </w:r>
      <w:r>
        <w:t xml:space="preserve"> </w:t>
      </w:r>
      <m:oMath>
        <m:r>
          <m:t>1</m:t>
        </m:r>
        <m:r>
          <m:rPr>
            <m:sty m:val="p"/>
          </m:rPr>
          <m:t>−</m:t>
        </m:r>
        <m:r>
          <m:t>ε</m:t>
        </m:r>
      </m:oMath>
      <w:r>
        <w:t xml:space="preserve"> </w:t>
      </w:r>
      <w:r>
        <w:t xml:space="preserve">olasılıkla en yüksek değerli aşamayı,</w:t>
      </w:r>
      <w:r>
        <w:t xml:space="preserve"> </w:t>
      </w:r>
      <m:oMath>
        <m:r>
          <m:t>ε</m:t>
        </m:r>
      </m:oMath>
      <w:r>
        <w:t xml:space="preserve"> </w:t>
      </w:r>
      <w:r>
        <w:t xml:space="preserve">olasılıkla rastgele bir aşamayı seçer. Ödül, denemenin sağladığı öngörülen maliyet düşüşüdür ve değerler her denemeden sonra güncellenir:</w:t>
      </w:r>
    </w:p>
    <w:p>
      <w:pPr>
        <w:pStyle w:val="BodyTextNext"/>
      </w:pPr>
      <m:oMathPara>
        <m:oMathParaPr>
          <m:jc m:val="center"/>
        </m:oMathParaPr>
        <m:oMath>
          <m:r>
            <m:t>H</m:t>
          </m:r>
          <m:d>
            <m:dPr>
              <m:begChr m:val="("/>
              <m:sepChr m:val=""/>
              <m:endChr m:val=")"/>
              <m:grow/>
            </m:dPr>
            <m:e>
              <m:sSub>
                <m:e>
                  <m:r>
                    <m:t>e</m:t>
                  </m:r>
                </m:e>
                <m:sub>
                  <m:r>
                    <m:t>k</m:t>
                  </m:r>
                </m:sub>
              </m:sSub>
              <m:r>
                <m:rPr>
                  <m:sty m:val="p"/>
                </m:rPr>
                <m:t>,</m:t>
              </m:r>
              <m:sSub>
                <m:e>
                  <m:r>
                    <m:t>q</m:t>
                  </m:r>
                </m:e>
                <m:sub>
                  <m:r>
                    <m:t>k</m:t>
                  </m:r>
                </m:sub>
              </m:sSub>
            </m:e>
          </m:d>
          <m:r>
            <m:rPr>
              <m:sty m:val="p"/>
            </m:rPr>
            <m:t>←</m:t>
          </m:r>
          <m:r>
            <m:t>H</m:t>
          </m:r>
          <m:d>
            <m:dPr>
              <m:begChr m:val="("/>
              <m:sepChr m:val=""/>
              <m:endChr m:val=")"/>
              <m:grow/>
            </m:dPr>
            <m:e>
              <m:sSub>
                <m:e>
                  <m:r>
                    <m:t>e</m:t>
                  </m:r>
                </m:e>
                <m:sub>
                  <m:r>
                    <m:t>k</m:t>
                  </m:r>
                </m:sub>
              </m:sSub>
              <m:r>
                <m:rPr>
                  <m:sty m:val="p"/>
                </m:rPr>
                <m:t>,</m:t>
              </m:r>
              <m:sSub>
                <m:e>
                  <m:r>
                    <m:t>q</m:t>
                  </m:r>
                </m:e>
                <m:sub>
                  <m:r>
                    <m:t>k</m:t>
                  </m:r>
                </m:sub>
              </m:sSub>
            </m:e>
          </m:d>
          <m:r>
            <m:rPr>
              <m:sty m:val="p"/>
            </m:rPr>
            <m:t>+</m:t>
          </m:r>
          <m:r>
            <m:t>α</m:t>
          </m:r>
          <m:d>
            <m:dPr>
              <m:begChr m:val="("/>
              <m:sepChr m:val=""/>
              <m:endChr m:val=")"/>
              <m:grow/>
            </m:dPr>
            <m:e>
              <m:sSub>
                <m:e>
                  <m:r>
                    <m:t>r</m:t>
                  </m:r>
                </m:e>
                <m:sub>
                  <m:r>
                    <m:t>k</m:t>
                  </m:r>
                </m:sub>
              </m:sSub>
              <m:r>
                <m:rPr>
                  <m:sty m:val="p"/>
                </m:rPr>
                <m:t>−</m:t>
              </m:r>
              <m:r>
                <m:t>H</m:t>
              </m:r>
              <m:d>
                <m:dPr>
                  <m:begChr m:val="("/>
                  <m:sepChr m:val=""/>
                  <m:endChr m:val=")"/>
                  <m:grow/>
                </m:dPr>
                <m:e>
                  <m:sSub>
                    <m:e>
                      <m:r>
                        <m:t>e</m:t>
                      </m:r>
                    </m:e>
                    <m:sub>
                      <m:r>
                        <m:t>k</m:t>
                      </m:r>
                    </m:sub>
                  </m:sSub>
                  <m:r>
                    <m:rPr>
                      <m:sty m:val="p"/>
                    </m:rPr>
                    <m:t>,</m:t>
                  </m:r>
                  <m:sSub>
                    <m:e>
                      <m:r>
                        <m:t>q</m:t>
                      </m:r>
                    </m:e>
                    <m:sub>
                      <m:r>
                        <m:t>k</m:t>
                      </m:r>
                    </m:sub>
                  </m:sSub>
                </m:e>
              </m:d>
            </m:e>
          </m:d>
          <m:r>
            <m:t> </m:t>
          </m:r>
          <m:r>
            <m:t> </m:t>
          </m:r>
          <m:d>
            <m:dPr>
              <m:begChr m:val="("/>
              <m:sepChr m:val=""/>
              <m:endChr m:val=")"/>
              <m:grow/>
            </m:dPr>
            <m:e>
              <m:r>
                <m:t>3</m:t>
              </m:r>
            </m:e>
          </m:d>
        </m:oMath>
      </m:oMathPara>
    </w:p>
    <w:p>
      <w:pPr>
        <w:pStyle w:val="BodyTextNext"/>
        <w:spacing w:after="80"/>
      </w:pPr>
      <w:r>
        <w:t xml:space="preserve">Çalışmada</w:t>
      </w:r>
      <w:r>
        <w:t xml:space="preserve"> </w:t>
      </w:r>
      <m:oMath>
        <m:r>
          <m:t>α</m:t>
        </m:r>
        <m:r>
          <m:rPr>
            <m:sty m:val="p"/>
          </m:rPr>
          <m:t>=</m:t>
        </m:r>
        <m:r>
          <m:t>0</m:t>
        </m:r>
        <m:r>
          <m:rPr>
            <m:sty m:val="p"/>
          </m:rPr>
          <m:t>,</m:t>
        </m:r>
        <m:r>
          <m:t>05</m:t>
        </m:r>
      </m:oMath>
      <w:r>
        <w:t xml:space="preserve"> </w:t>
      </w:r>
      <w:r>
        <w:t xml:space="preserve">ve</w:t>
      </w:r>
      <w:r>
        <w:t xml:space="preserve"> </w:t>
      </w:r>
      <m:oMath>
        <m:r>
          <m:t>ε</m:t>
        </m:r>
        <m:r>
          <m:rPr>
            <m:sty m:val="p"/>
          </m:rPr>
          <m:t>=</m:t>
        </m:r>
        <m:r>
          <m:t>0</m:t>
        </m:r>
        <m:r>
          <m:rPr>
            <m:sty m:val="p"/>
          </m:rPr>
          <m:t>,</m:t>
        </m:r>
        <m:r>
          <m:t>10</m:t>
        </m:r>
      </m:oMath>
      <w:r>
        <w:t xml:space="preserve"> </w:t>
      </w:r>
      <w:r>
        <w:t xml:space="preserve">kullanılmıştır. Ödül, sözlük büyüklüğüne değil sonuca bağlıdır; bu nedenle yeni ad ekleyen ancak sonucu iyileştirmeyen bir aşama zamanla daha az seçilir.</w:t>
      </w:r>
    </w:p>
    <w:p>
      <w:pPr>
        <w:pStyle w:val="BodyTextNext"/>
        <w:keepNext/>
        <w:spacing w:before="200" w:after="100"/>
        <w:jc w:val="center"/>
      </w:pPr>
      <w:r>
        <w:rPr>
          <w:bCs/>
          <w:b/>
        </w:rPr>
        <w:t xml:space="preserve">4. Üretken öneri ve doğrulama kapıları</w:t>
      </w:r>
    </w:p>
    <w:p>
      <w:pPr>
        <w:pStyle w:val="BodyTextNext"/>
        <w:spacing w:after="80"/>
      </w:pPr>
      <w:r>
        <w:t xml:space="preserve">Üçüncü aşama, ilk iki aşamanın üretemeyeceği türden bilgiyi tabana ekler. Önerici, önceden eğitilmiş genel amaçlı bir BDM’dir; yalnızca bağlam içinde kullanılır, ağırlık güncellemesi ve göreve özel eğitim yapılmaz. Model her çağrıda üç girdiyle koşullanır: Rolünü tanımlayan bir sistem talimatı; çevrimin durumunu (kavram değerleri, etkin kural tabanı, kapsama bilgisi, kaynak durumu) veren yapılandırılmış bir özet; ve her öneriyi sistemin kapalı sözlüğüne (kavramlar, dilsel terimler, kabul edilebilir müdahaleler) zorlayan bir şema kısıtı. Model her çağrıda tek bir öneri üretir. Öneri ya yalnızca bir kuraldır ya da bir kural ile o kuralın kullandığı tek bir yeni sözlük nesnesinden oluşan bir pakettir. Yeni nesne üç türden biri olabilir: En çok üç temel kanalı sabit oranlarla birleştiren bir</w:t>
      </w:r>
      <w:r>
        <w:t xml:space="preserve"> </w:t>
      </w:r>
      <w:r>
        <w:rPr>
          <w:bCs/>
          <w:b/>
        </w:rPr>
        <w:t xml:space="preserve">makro müdahale</w:t>
      </w:r>
      <w:r>
        <w:t xml:space="preserve">; en çok dört mevcut girdinin normalize bileşimi olan bir</w:t>
      </w:r>
      <w:r>
        <w:t xml:space="preserve"> </w:t>
      </w:r>
      <w:r>
        <w:rPr>
          <w:bCs/>
          <w:b/>
        </w:rPr>
        <w:t xml:space="preserve">ara kavram</w:t>
      </w:r>
      <w:r>
        <w:t xml:space="preserve">; veya doğrulanmış fiziksel etkileri sektör ve hücre bandı bilgisiyle birleştiren bir</w:t>
      </w:r>
      <w:r>
        <w:t xml:space="preserve"> </w:t>
      </w:r>
      <w:r>
        <w:rPr>
          <w:bCs/>
          <w:b/>
        </w:rPr>
        <w:t xml:space="preserve">koşul eyleyicisi</w:t>
      </w:r>
      <w:r>
        <w:t xml:space="preserve">. Koşul eyleyicisi yeni bir müdahale tanımlayabilir; ancak çağırabileceği fiziksel etkiler, benzetimde önceden doğrulanmış sabit bir kümeyle sınırlıdır. Böylece karar uzayı müdahale düzeyinde genişlerken fiziksel etki düzeyinde kapalı kalır.</w:t>
      </w:r>
    </w:p>
    <w:p>
      <w:pPr>
        <w:pStyle w:val="BodyTextNext"/>
        <w:spacing w:after="80"/>
      </w:pPr>
      <w:r>
        <w:t xml:space="preserve">Önerilerin güvenilirliği doğrulama kapılarıyla sağlanır (</w:t>
      </w:r>
      <w:fldSimple w:instr=" REF _RefCiz1 \h ">
        <w:r>
          <w:t>Çizelge 1</w:t>
        </w:r>
      </w:fldSimple>
      <w:r>
        <w:t xml:space="preserve">). İlk dört kapı cebirsel denetimlerdir ve benzetim maliyeti taşımaz. Bu kapılardan birinde reddedilen öneri, başarısız kapının adıyla birlikte sınırlı bir düzeltme hakkı içinde modele geri gönderilir. Benzetimli kapılar ise kazancı iki bağımsız gelecek üzerinde arar:</w:t>
      </w:r>
    </w:p>
    <w:p>
      <w:pPr>
        <w:pStyle w:val="BodyTextNext"/>
      </w:pPr>
      <m:oMathPara>
        <m:oMathParaPr>
          <m:jc m:val="center"/>
        </m:oMathParaPr>
        <m:oMath>
          <m:r>
            <m:t>G</m:t>
          </m:r>
          <m:r>
            <m:t>3</m:t>
          </m:r>
          <m:r>
            <m:rPr>
              <m:sty m:val="p"/>
            </m:rPr>
            <m:t>:</m:t>
          </m:r>
          <m:r>
            <m:t> </m:t>
          </m:r>
          <m:r>
            <m:t>Δ</m:t>
          </m:r>
          <m:sSubSup>
            <m:e>
              <m:acc>
                <m:accPr>
                  <m:chr m:val="̂"/>
                </m:accPr>
                <m:e>
                  <m:r>
                    <m:t>J</m:t>
                  </m:r>
                </m:e>
              </m:acc>
            </m:e>
            <m:sub>
              <m:r>
                <m:t>p</m:t>
              </m:r>
              <m:r>
                <m:t>h</m:t>
              </m:r>
              <m:r>
                <m:t>y</m:t>
              </m:r>
              <m:r>
                <m:t>s</m:t>
              </m:r>
            </m:sub>
            <m:sup>
              <m:d>
                <m:dPr>
                  <m:begChr m:val="("/>
                  <m:sepChr m:val=""/>
                  <m:endChr m:val=")"/>
                  <m:grow/>
                </m:dPr>
                <m:e>
                  <m:sSub>
                    <m:e>
                      <m:r>
                        <m:t>V</m:t>
                      </m:r>
                    </m:e>
                    <m:sub>
                      <m:r>
                        <m:t>a</m:t>
                      </m:r>
                    </m:sub>
                  </m:sSub>
                </m:e>
              </m:d>
            </m:sup>
          </m:sSubSup>
          <m:r>
            <m:rPr>
              <m:sty m:val="p"/>
            </m:rPr>
            <m:t>&lt;</m:t>
          </m:r>
          <m:r>
            <m:t>0</m:t>
          </m:r>
          <m:r>
            <m:rPr>
              <m:sty m:val="p"/>
            </m:rPr>
            <m:t>;</m:t>
          </m:r>
          <m:r>
            <m:t>  </m:t>
          </m:r>
          <m:r>
            <m:t>G</m:t>
          </m:r>
          <m:r>
            <m:t>4</m:t>
          </m:r>
          <m:r>
            <m:rPr>
              <m:sty m:val="p"/>
            </m:rPr>
            <m:t>:</m:t>
          </m:r>
          <m:r>
            <m:t> </m:t>
          </m:r>
          <m:r>
            <m:t>Δ</m:t>
          </m:r>
          <m:sSubSup>
            <m:e>
              <m:acc>
                <m:accPr>
                  <m:chr m:val="̂"/>
                </m:accPr>
                <m:e>
                  <m:r>
                    <m:t>J</m:t>
                  </m:r>
                </m:e>
              </m:acc>
            </m:e>
            <m:sub>
              <m:r>
                <m:t>p</m:t>
              </m:r>
              <m:r>
                <m:t>h</m:t>
              </m:r>
              <m:r>
                <m:t>y</m:t>
              </m:r>
              <m:r>
                <m:t>s</m:t>
              </m:r>
            </m:sub>
            <m:sup>
              <m:d>
                <m:dPr>
                  <m:begChr m:val="("/>
                  <m:sepChr m:val=""/>
                  <m:endChr m:val=")"/>
                  <m:grow/>
                </m:dPr>
                <m:e>
                  <m:sSub>
                    <m:e>
                      <m:r>
                        <m:t>V</m:t>
                      </m:r>
                    </m:e>
                    <m:sub>
                      <m:r>
                        <m:t>b</m:t>
                      </m:r>
                    </m:sub>
                  </m:sSub>
                </m:e>
              </m:d>
            </m:sup>
          </m:sSubSup>
          <m:r>
            <m:rPr>
              <m:sty m:val="p"/>
            </m:rPr>
            <m:t>&lt;</m:t>
          </m:r>
          <m:r>
            <m:t>0</m:t>
          </m:r>
          <m:r>
            <m:t> </m:t>
          </m:r>
          <m:r>
            <m:t> </m:t>
          </m:r>
          <m:d>
            <m:dPr>
              <m:begChr m:val="("/>
              <m:sepChr m:val=""/>
              <m:endChr m:val=")"/>
              <m:grow/>
            </m:dPr>
            <m:e>
              <m:r>
                <m:t>4</m:t>
              </m:r>
            </m:e>
          </m:d>
        </m:oMath>
      </m:oMathPara>
    </w:p>
    <w:p>
      <w:pPr>
        <w:pStyle w:val="BodyTextNext"/>
        <w:spacing w:after="80"/>
      </w:pPr>
      <w:r>
        <w:t xml:space="preserve">Burada</w:t>
      </w:r>
      <w:r>
        <w:t xml:space="preserve"> </w:t>
      </w:r>
      <m:oMath>
        <m:sSub>
          <m:e>
            <m:r>
              <m:t>V</m:t>
            </m:r>
          </m:e>
          <m:sub>
            <m:r>
              <m:t>a</m:t>
            </m:r>
          </m:sub>
        </m:sSub>
      </m:oMath>
      <w:r>
        <w:t xml:space="preserve"> </w:t>
      </w:r>
      <w:r>
        <w:t xml:space="preserve">ve</w:t>
      </w:r>
      <w:r>
        <w:t xml:space="preserve"> </w:t>
      </w:r>
      <m:oMath>
        <m:sSub>
          <m:e>
            <m:r>
              <m:t>V</m:t>
            </m:r>
          </m:e>
          <m:sub>
            <m:r>
              <m:t>b</m:t>
            </m:r>
          </m:sub>
        </m:sSub>
      </m:oMath>
      <w:r>
        <w:t xml:space="preserve">, gölge benzetimi süren iki bağımsız rastgele tohumdur. Tek koşuda elde edilen iyileşme rastlantısal olabilir; bu nedenle iki bağımsız gelecekte korunmayan iyileşme kabul edilmez. Sözlük büyüten paketlere ek denetimler uygulanır. G5 kapısı, iki koşuda da</w:t>
      </w:r>
      <w:r>
        <w:t xml:space="preserve"> </w:t>
      </w:r>
      <m:oMath>
        <m:sSub>
          <m:e>
            <m:r>
              <m:t>δ</m:t>
            </m:r>
          </m:e>
          <m:sub>
            <m:r>
              <m:t>v</m:t>
            </m:r>
          </m:sub>
        </m:sSub>
      </m:oMath>
      <w:r>
        <w:t xml:space="preserve"> </w:t>
      </w:r>
      <w:r>
        <w:t xml:space="preserve">marjını aşan bir kazanç ister. G5b kapısı ise aynı iki geleceği, kuralın yeni nesneye verdiği emir çıkarılmış olarak yeniden koşturur; maliyet iki koşuda da yükselmiyorsa kazanç kuraldaki olağan emirlere aittir ve paket reddedilir. Böylece sözlüğün, yalnızca gerçekten katkı sağlayan nesnelerle büyümesi güvence altına alınır.</w:t>
      </w:r>
    </w:p>
    <w:p>
      <w:pPr>
        <w:pStyle w:val="Tablecaption"/>
        <w:keepNext/>
        <w:spacing w:before="40" w:after="120"/>
        <w:jc w:val="center"/>
      </w:pPr>
      <w:bookmarkStart w:id="902" w:name="_RefCiz1"/>
      <w:r>
        <w:rPr>
          <w:bCs/>
          <w:b/>
        </w:rPr>
        <w:t xml:space="preserve">Çizelge 1</w:t>
      </w:r>
      <w:bookmarkEnd w:id="902"/>
      <w:r>
        <w:rPr>
          <w:bCs/>
          <w:b/>
        </w:rPr>
        <w:t xml:space="preserve">:</w:t>
      </w:r>
      <w:r>
        <w:t xml:space="preserve"> </w:t>
      </w:r>
      <w:r>
        <w:t xml:space="preserve">Doğrulama kapıları ve denetledikleri koşullar</w:t>
      </w:r>
    </w:p>
    <w:tbl>
      <w:tblPr>
        <w:tblW w:type="dxa" w:w="4536"/>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0" w:type="dxa"/>
          <w:left w:w="60" w:type="dxa"/>
          <w:bottom w:w="20" w:type="dxa"/>
          <w:right w:w="60" w:type="dxa"/>
        </w:tblCellMar>
        <w:tblLook w:firstRow="1" w:lastRow="0" w:firstColumn="0" w:lastColumn="0" w:noHBand="0" w:noVBand="0" w:val="0020"/>
      </w:tblPr>
      <w:tblGrid>
        <w:gridCol w:w="1140"/>
        <w:gridCol w:w="3396"/>
      </w:tblGrid>
      <w:tr>
        <w:trPr>
          <w:tblHeader w:val="true"/>
        </w:trPr>
        <w:tc>
          <w:tcPr>
            <w:tcW w:type="dxa" w:w="1140"/>
          </w:tcPr>
          <w:tcPr/>
          <w:p>
            <w:pPr>
              <w:pStyle w:val="BodyTextNext"/>
              <w:jc w:val="left"/>
            </w:pPr>
            <w:r>
              <w:t xml:space="preserve">Kapı</w:t>
            </w:r>
          </w:p>
        </w:tc>
        <w:tc>
          <w:tcPr>
            <w:tcW w:type="dxa" w:w="3396"/>
          </w:tcPr>
          <w:tcPr/>
          <w:p>
            <w:pPr>
              <w:pStyle w:val="BodyTextNext"/>
              <w:jc w:val="left"/>
            </w:pPr>
            <w:r>
              <w:t xml:space="preserve">Denetlenen koşul</w:t>
            </w:r>
          </w:p>
        </w:tc>
      </w:tr>
      <w:tr>
        <w:tc>
          <w:tcPr>
            <w:tcW w:type="dxa" w:w="1140"/>
          </w:tcPr>
          <w:tcPr/>
          <w:p>
            <w:pPr>
              <w:pStyle w:val="BodyTextNext"/>
              <w:jc w:val="left"/>
            </w:pPr>
            <w:r>
              <w:t xml:space="preserve">G1 Biçim</w:t>
            </w:r>
          </w:p>
        </w:tc>
        <w:tc>
          <w:tcPr>
            <w:tcW w:type="dxa" w:w="3396"/>
          </w:tcPr>
          <w:tcPr/>
          <w:p>
            <w:pPr>
              <w:pStyle w:val="BodyTextNext"/>
              <w:jc w:val="left"/>
            </w:pPr>
            <w:r>
              <w:t xml:space="preserve">Öncül ve sonuç iyi biçimli bir kural oluşturur</w:t>
            </w:r>
          </w:p>
        </w:tc>
      </w:tr>
      <w:tr>
        <w:tc>
          <w:tcPr>
            <w:tcW w:type="dxa" w:w="1140"/>
          </w:tcPr>
          <w:tcPr/>
          <w:p>
            <w:pPr>
              <w:pStyle w:val="BodyTextNext"/>
              <w:jc w:val="left"/>
            </w:pPr>
            <w:r>
              <w:t xml:space="preserve">G2 Kısıt</w:t>
            </w:r>
          </w:p>
        </w:tc>
        <w:tc>
          <w:tcPr>
            <w:tcW w:type="dxa" w:w="3396"/>
          </w:tcPr>
          <w:tcPr/>
          <w:p>
            <w:pPr>
              <w:pStyle w:val="BodyTextNext"/>
              <w:jc w:val="left"/>
            </w:pPr>
            <w:r>
              <w:t xml:space="preserve">Sözlük, terim sayısı ve sayısal aralıklar geçerlidir; dolu bir bileşim yinelenmez</w:t>
            </w:r>
          </w:p>
        </w:tc>
      </w:tr>
      <w:tr>
        <w:tc>
          <w:tcPr>
            <w:tcW w:type="dxa" w:w="1140"/>
          </w:tcPr>
          <w:tcPr/>
          <w:p>
            <w:pPr>
              <w:pStyle w:val="BodyTextNext"/>
              <w:jc w:val="left"/>
            </w:pPr>
            <w:r>
              <w:t xml:space="preserve">G2b Artıksızlık*</w:t>
            </w:r>
          </w:p>
        </w:tc>
        <w:tc>
          <w:tcPr>
            <w:tcW w:type="dxa" w:w="3396"/>
          </w:tcPr>
          <w:tcPr/>
          <w:p>
            <w:pPr>
              <w:pStyle w:val="BodyTextNext"/>
              <w:jc w:val="left"/>
            </w:pPr>
            <w:r>
              <w:t xml:space="preserve">Yeni kavram mevcut bir kavramın yönünü yinelemez:</w:t>
            </w:r>
            <w:r>
              <w:t xml:space="preserve"> </w:t>
            </w:r>
            <m:oMath>
              <m:r>
                <m:rPr>
                  <m:sty m:val="p"/>
                </m:rPr>
                <m:t>cos</m:t>
              </m:r>
              <m:d>
                <m:dPr>
                  <m:begChr m:val="("/>
                  <m:sepChr m:val=""/>
                  <m:endChr m:val=")"/>
                  <m:grow/>
                </m:dPr>
                <m:e>
                  <m:sSub>
                    <m:e>
                      <m:r>
                        <m:t>ω</m:t>
                      </m:r>
                    </m:e>
                    <m:sub>
                      <m:r>
                        <m:t>n</m:t>
                      </m:r>
                      <m:r>
                        <m:t>e</m:t>
                      </m:r>
                      <m:r>
                        <m:t>w</m:t>
                      </m:r>
                    </m:sub>
                  </m:sSub>
                  <m:r>
                    <m:rPr>
                      <m:sty m:val="p"/>
                    </m:rPr>
                    <m:t>,</m:t>
                  </m:r>
                  <m:sSub>
                    <m:e>
                      <m:r>
                        <m:t>ω</m:t>
                      </m:r>
                    </m:e>
                    <m:sub>
                      <m:r>
                        <m:t>c</m:t>
                      </m:r>
                    </m:sub>
                  </m:sSub>
                </m:e>
              </m:d>
              <m:r>
                <m:rPr>
                  <m:sty m:val="p"/>
                </m:rPr>
                <m:t>&lt;</m:t>
              </m:r>
              <m:r>
                <m:t>0</m:t>
              </m:r>
              <m:r>
                <m:rPr>
                  <m:sty m:val="p"/>
                </m:rPr>
                <m:t>,</m:t>
              </m:r>
              <m:r>
                <m:t>95</m:t>
              </m:r>
            </m:oMath>
          </w:p>
        </w:tc>
      </w:tr>
      <w:tr>
        <w:tc>
          <w:tcPr>
            <w:tcW w:type="dxa" w:w="1140"/>
          </w:tcPr>
          <w:tcPr/>
          <w:p>
            <w:pPr>
              <w:pStyle w:val="BodyTextNext"/>
              <w:jc w:val="left"/>
            </w:pPr>
            <w:r>
              <w:t xml:space="preserve">G2c İlgililik</w:t>
            </w:r>
          </w:p>
        </w:tc>
        <w:tc>
          <w:tcPr>
            <w:tcW w:type="dxa" w:w="3396"/>
          </w:tcPr>
          <w:tcPr/>
          <w:p>
            <w:pPr>
              <w:pStyle w:val="BodyTextNext"/>
              <w:jc w:val="left"/>
            </w:pPr>
            <w:r>
              <w:t xml:space="preserve">Önerinin tüm öncülleri mevcut durumda ateşlenir</w:t>
            </w:r>
          </w:p>
        </w:tc>
      </w:tr>
      <w:tr>
        <w:tc>
          <w:tcPr>
            <w:tcW w:type="dxa" w:w="1140"/>
          </w:tcPr>
          <w:tcPr/>
          <w:p>
            <w:pPr>
              <w:pStyle w:val="BodyTextNext"/>
              <w:jc w:val="left"/>
            </w:pPr>
            <w:r>
              <w:t xml:space="preserve">G2d Havuz ekonomisi</w:t>
            </w:r>
          </w:p>
        </w:tc>
        <w:tc>
          <w:tcPr>
            <w:tcW w:type="dxa" w:w="3396"/>
          </w:tcPr>
          <w:tcPr/>
          <w:p>
            <w:pPr>
              <w:pStyle w:val="BodyTextNext"/>
              <w:jc w:val="left"/>
            </w:pPr>
            <w:r>
              <w:t xml:space="preserve">Bütçe doluyken fiziksel iş ekleyen öneri reddedilir</w:t>
            </w:r>
          </w:p>
        </w:tc>
      </w:tr>
      <w:tr>
        <w:tc>
          <w:tcPr>
            <w:tcW w:type="dxa" w:w="1140"/>
          </w:tcPr>
          <w:tcPr/>
          <w:p>
            <w:pPr>
              <w:pStyle w:val="BodyTextNext"/>
              <w:jc w:val="left"/>
            </w:pPr>
            <w:r>
              <w:t xml:space="preserve">G3 İlk kazanç</w:t>
            </w:r>
          </w:p>
        </w:tc>
        <w:tc>
          <w:tcPr>
            <w:tcW w:type="dxa" w:w="3396"/>
          </w:tcPr>
          <w:tcPr/>
          <w:p>
            <w:pPr>
              <w:pStyle w:val="BodyTextNext"/>
              <w:jc w:val="left"/>
            </w:pPr>
            <w:r>
              <w:t xml:space="preserve">Öngörülen fiziksel maliyet düşer:</w:t>
            </w:r>
            <w:r>
              <w:t xml:space="preserve"> </w:t>
            </w:r>
            <m:oMath>
              <m:r>
                <m:t>Δ</m:t>
              </m:r>
              <m:sSub>
                <m:e>
                  <m:acc>
                    <m:accPr>
                      <m:chr m:val="̂"/>
                    </m:accPr>
                    <m:e>
                      <m:r>
                        <m:t>J</m:t>
                      </m:r>
                    </m:e>
                  </m:acc>
                </m:e>
                <m:sub>
                  <m:r>
                    <m:t>p</m:t>
                  </m:r>
                  <m:r>
                    <m:t>h</m:t>
                  </m:r>
                  <m:r>
                    <m:t>y</m:t>
                  </m:r>
                  <m:r>
                    <m:t>s</m:t>
                  </m:r>
                </m:sub>
              </m:sSub>
              <m:r>
                <m:rPr>
                  <m:sty m:val="p"/>
                </m:rPr>
                <m:t>&lt;</m:t>
              </m:r>
              <m:r>
                <m:t>0</m:t>
              </m:r>
            </m:oMath>
          </w:p>
        </w:tc>
      </w:tr>
      <w:tr>
        <w:tc>
          <w:tcPr>
            <w:tcW w:type="dxa" w:w="1140"/>
          </w:tcPr>
          <w:tcPr/>
          <w:p>
            <w:pPr>
              <w:pStyle w:val="BodyTextNext"/>
              <w:spacing w:after="80"/>
              <w:jc w:val="left"/>
            </w:pPr>
            <w:r>
              <w:t xml:space="preserve">G4 Gürbüzlük</w:t>
            </w:r>
          </w:p>
        </w:tc>
        <w:tc>
          <w:tcPr>
            <w:tcW w:type="dxa" w:w="3396"/>
          </w:tcPr>
          <w:tcPr/>
          <w:p>
            <w:pPr>
              <w:pStyle w:val="BodyTextNext"/>
              <w:spacing w:after="80"/>
              <w:jc w:val="left"/>
            </w:pPr>
            <w:r>
              <w:t xml:space="preserve">Aynı denetim bağımsız ikinci tohumda da geçer</w:t>
            </w:r>
          </w:p>
        </w:tc>
      </w:tr>
      <w:tr>
        <w:tc>
          <w:tcPr>
            <w:tcW w:type="dxa" w:w="1140"/>
          </w:tcPr>
          <w:tcPr/>
          <w:p>
            <w:pPr>
              <w:pStyle w:val="BodyTextNext"/>
              <w:spacing w:after="80"/>
              <w:jc w:val="left"/>
            </w:pPr>
            <w:r>
              <w:t xml:space="preserve">G5 Sözlük getirisi*</w:t>
            </w:r>
          </w:p>
        </w:tc>
        <w:tc>
          <w:tcPr>
            <w:tcW w:type="dxa" w:w="3396"/>
          </w:tcPr>
          <w:tcPr/>
          <w:p>
            <w:pPr>
              <w:pStyle w:val="BodyTextNext"/>
              <w:spacing w:after="80"/>
              <w:jc w:val="left"/>
            </w:pPr>
            <w:r>
              <w:t xml:space="preserve">Kazanç iki koşuda da</w:t>
            </w:r>
            <w:r>
              <w:t xml:space="preserve"> </w:t>
            </w:r>
            <m:oMath>
              <m:sSub>
                <m:e>
                  <m:r>
                    <m:t>δ</m:t>
                  </m:r>
                </m:e>
                <m:sub>
                  <m:r>
                    <m:t>v</m:t>
                  </m:r>
                </m:sub>
              </m:sSub>
            </m:oMath>
            <w:r>
              <w:t xml:space="preserve"> </w:t>
            </w:r>
            <w:r>
              <w:t xml:space="preserve">marjını aşar</w:t>
            </w:r>
          </w:p>
        </w:tc>
      </w:tr>
      <w:tr>
        <w:tc>
          <w:tcPr>
            <w:tcW w:type="dxa" w:w="1140"/>
          </w:tcPr>
          <w:tcPr/>
          <w:p>
            <w:pPr>
              <w:pStyle w:val="BodyTextNext"/>
              <w:spacing w:after="80"/>
              <w:jc w:val="left"/>
            </w:pPr>
            <w:r>
              <w:t xml:space="preserve">G5b Katkı ayrımı*</w:t>
            </w:r>
          </w:p>
        </w:tc>
        <w:tc>
          <w:tcPr>
            <w:tcW w:type="dxa" w:w="3396"/>
          </w:tcPr>
          <w:tcPr/>
          <w:p>
            <w:pPr>
              <w:pStyle w:val="BodyTextNext"/>
              <w:spacing w:after="80"/>
              <w:jc w:val="left"/>
            </w:pPr>
            <w:r>
              <w:t xml:space="preserve">Yeni nesne çıkarıldığında maliyet iki koşuda da yükselir</w:t>
            </w:r>
          </w:p>
        </w:tc>
      </w:tr>
    </w:tbl>
    <w:p>
      <w:pPr>
        <w:pStyle w:val="BodyTextNext"/>
        <w:spacing w:after="80"/>
      </w:pPr>
      <w:r>
        <w:t xml:space="preserve">* Yalnızca paket önerilere uygulanır.</w:t>
      </w:r>
    </w:p>
    <w:p>
      <w:pPr>
        <w:pStyle w:val="BodyTextNext"/>
        <w:spacing w:after="80"/>
      </w:pPr>
      <w:r>
        <w:t xml:space="preserve">Kapanan her çevrim bir</w:t>
      </w:r>
      <w:r>
        <w:t xml:space="preserve"> </w:t>
      </w:r>
      <w:r>
        <w:rPr>
          <w:bCs/>
          <w:b/>
        </w:rPr>
        <w:t xml:space="preserve">günceye</w:t>
      </w:r>
      <w:r>
        <w:t xml:space="preserve"> </w:t>
      </w:r>
      <w:r>
        <w:t xml:space="preserve">kaydedilir: Çevrime giren durum, üretilen öneri, kararı veren kapı ve gerçekleşen maliyet değişimi. Günce yalnızca bir denetim kaydı değildir. Yeni bir öneri istenmeden önce, mevcut duruma en yakın kayıtlar bulunur ve karar bilgileriyle birlikte modele verilen isteme eklenir. Model bu sayede benzer durumlarda nelerin kabul, nelerin ret edildiğini görür ve daha önce reddedilmiş bir önerinin yinelenmesi önlenir. Kabul edilen her nesne ayrıca bir soy kütüğüne yazılır; sonraki kurallar bu nesneyi sistemin yerleşik bir sözlük öğesi gibi kullanabilir. Önerici deterministik olmadığından aynı öneriler birebir yeniden üretilemez; ancak kabul kararları modele dayanmadığından süreç bütünüyle denetlenebilir kalır.</w:t>
      </w:r>
    </w:p>
    <w:p>
      <w:pPr>
        <w:pStyle w:val="BodyTextNext"/>
        <w:keepNext/>
        <w:spacing w:before="200" w:after="100"/>
        <w:jc w:val="center"/>
      </w:pPr>
      <w:r>
        <w:rPr>
          <w:bCs/>
          <w:b/>
        </w:rPr>
        <w:t xml:space="preserve">5. Kullanım örneği: Orman yangını müdahalesi</w:t>
      </w:r>
    </w:p>
    <w:p>
      <w:pPr>
        <w:pStyle w:val="BodyTextNext"/>
        <w:spacing w:after="80"/>
      </w:pPr>
      <w:r>
        <w:t xml:space="preserve">Mimari, orman yangını müdahalesi için geliştirilen bölgesel ajanlı bir bulanık KDS üzerinde değerlendirilmiştir [8]. Bu sistemde her ajan, gözlemlerden türetilen beş karar kavramı üzerinde çıkarım yapar ve altı müdahale ailesine (söndürme, kaynak konuşlandırma, çevreleme hattı, varlık koruma, tahliye, kamu uyarısı) şiddet değerleri atar. Gölge benzetim, yangın yayılımını hücre ızgarası üzerinde ilerleten ayrık bir çekirdektir; fiziksel maliyet yanan alan, varlık kaybı ve etkilenen nüfus bileşenlerinden oluşur. Değerlendirme, beş senaryo ailesi üzerinde toplam 142 kayıtlı koşu ve 6140 karar çevrimini kapsamaktadır.</w:t>
      </w:r>
    </w:p>
    <w:p>
      <w:pPr>
        <w:pStyle w:val="BodyTextNext"/>
        <w:spacing w:after="80"/>
      </w:pPr>
      <w:fldSimple w:instr=" REF _RefSek2 \h ">
        <w:r>
          <w:t>Şekil 2</w:t>
        </w:r>
      </w:fldSimple>
      <w:r>
        <w:t xml:space="preserve">, üç aşamanın deneme ve kabul sayılarını göstermektedir. Parametre katmanı 616 sonuç-adımı denemesi yapmış ve bunların 129’unu tutmuştur (%21). Kayıtlardaki her düzeltme küçüktür, sınırlıdır ve kabul edildiği anda kendi öngörü denetiminden geçmiştir. Çözünürlük katmanı 359 denemeden 40’ını tutmuş (%11) ve süreç etkinken boş kalan öncül bileşimlerine 41 kural yazmıştır. Üretken katman 232 kez çağrılmış; 47 öneri kapı dizisinden geçerek kabul edilmiştir. Bunların 36’sı yalnızca kuraldan oluşmakta, 11’i yeni sözlük nesnesi getiren paketlerdir. Kabul oranlarının düşük olması tasarımın beklenen bir sonucudur: Denemeler gölge benzetim üzerinde düşük maliyetle sınanır ve güvenle reddedilir; sıkı eleme, kabul edilen düzenlemelerin güvenilirliğini artırır.</w:t>
      </w:r>
    </w:p>
    <w:p>
      <w:pPr>
        <w:pStyle w:val="BodyTextNext"/>
        <w:keepNext/>
        <w:spacing w:before="80" w:after="40"/>
        <w:jc w:val="center"/>
      </w:pPr>
      <w:r>
        <w:drawing>
          <wp:inline>
            <wp:extent cx="2834640" cy="2498073"/>
            <wp:effectExtent b="0" l="0" r="0" t="0"/>
            <wp:docPr descr="" title="" id="24" name="Picture"/>
            <a:graphic>
              <a:graphicData uri="http://schemas.openxmlformats.org/drawingml/2006/picture">
                <pic:pic>
                  <pic:nvPicPr>
                    <pic:cNvPr descr="sek2.png" id="25" name="Picture"/>
                    <pic:cNvPicPr>
                      <a:picLocks noChangeArrowheads="1" noChangeAspect="1"/>
                    </pic:cNvPicPr>
                  </pic:nvPicPr>
                  <pic:blipFill>
                    <a:blip r:embed="rId23"/>
                    <a:stretch>
                      <a:fillRect/>
                    </a:stretch>
                  </pic:blipFill>
                  <pic:spPr bwMode="auto">
                    <a:xfrm>
                      <a:off x="0" y="0"/>
                      <a:ext cx="2834640" cy="2498073"/>
                    </a:xfrm>
                    <a:prstGeom prst="rect">
                      <a:avLst/>
                    </a:prstGeom>
                    <a:noFill/>
                    <a:ln w="9525">
                      <a:noFill/>
                      <a:headEnd/>
                      <a:tailEnd/>
                    </a:ln>
                  </pic:spPr>
                </pic:pic>
              </a:graphicData>
            </a:graphic>
          </wp:inline>
        </w:drawing>
      </w:r>
    </w:p>
    <w:p>
      <w:pPr>
        <w:pStyle w:val="Figurecaption"/>
        <w:spacing w:before="40" w:after="120"/>
        <w:jc w:val="center"/>
      </w:pPr>
      <w:bookmarkStart w:id="903" w:name="_RefSek2"/>
      <w:r>
        <w:rPr>
          <w:bCs/>
          <w:b/>
        </w:rPr>
        <w:t xml:space="preserve">Şekil 2</w:t>
      </w:r>
      <w:bookmarkEnd w:id="903"/>
      <w:r>
        <w:rPr>
          <w:bCs/>
          <w:b/>
        </w:rPr>
        <w:t xml:space="preserve">:</w:t>
      </w:r>
      <w:r>
        <w:t xml:space="preserve"> </w:t>
      </w:r>
      <w:r>
        <w:t xml:space="preserve">Uyarlama aşamalarının deneme ve kabul sayıları (142 koşu, 6140 karar çevrimi)</w:t>
      </w:r>
    </w:p>
    <w:p>
      <w:pPr>
        <w:pStyle w:val="BodyTextNext"/>
        <w:spacing w:after="80"/>
      </w:pPr>
      <w:r>
        <w:t xml:space="preserve">Kabul edilen paketler, başlangıç kural kümesinde bulunmayan yedi makro müdahale ile bir ara kavram üretmiştir. Makroların üçü, haritada su kaynağı bulunduğunda kullanılabilen su ikmali kanalını söndürme veya geciktirici kanallarıyla birleştirir. Örneğin sürekli saldırı makrosu, tam şiddette su ikmalini 0,9 şiddette söndürme ile eşler; başlangıç kurallarının hiç kullanmadığı bir kanal bu yolla etkin bir taktiğe dönüşmüştür. Üretilen ara kavram ise varlık maruziyeti ile tahliye baskısının normalize toplamıdır ve kent-orman arayüzünde biriken bileşik baskıyı tanımlar. Kavram, hiyerarşiye yerleşik bir kavram gibi katılmış ve sonraki bir üretken kural bu kavram üzerinde ateşlenerek arayüzü korumuştur. Sistem düzeyindeki katkı da ölçülmüştür: Üretken aşamayı içeren tam yapılandırma, yalnızca ilk iki aşamayı içeren yapılandırmaya kıyasla ortalama yanan alanı 78 hektardan 39 hektara indirmiş, kendi müdahale maliyeti dahil toplam karar maliyetini 0,169’dan 0,112’ye düşürmüştür [8].</w:t>
      </w:r>
    </w:p>
    <w:p>
      <w:pPr>
        <w:pStyle w:val="BodyTextNext"/>
        <w:keepNext/>
        <w:spacing w:before="200" w:after="100"/>
        <w:jc w:val="center"/>
      </w:pPr>
      <w:r>
        <w:rPr>
          <w:bCs/>
          <w:b/>
        </w:rPr>
        <w:t xml:space="preserve">6. Genellik ve sınırlar</w:t>
      </w:r>
    </w:p>
    <w:p>
      <w:pPr>
        <w:pStyle w:val="BodyTextNext"/>
        <w:spacing w:after="80"/>
      </w:pPr>
      <w:r>
        <w:t xml:space="preserve">Mimaride yangına özgü bir bileşen yoktur. Yöntemin bir KDS’ye uygulanabilmesi için dört koşul yeterlidir: Kuralların üzerine yazılabileceği sınırlı boyutlu bir durum soyutlaması; önerilerin sınırlanacağı kapalı bir müdahale sözlüğü; adayların düşük maliyetle ve güvenle sınanabileceği, karar mantığından ayrık bir gölge benzetim veya sayısal ikiz; ve kazancın okunacağı sayısal bir maliyet ölçüsü. Bu koşulları sağlayan sistemlerde (örneğin sel tahliyesi, endüstriyel süreç güvenliği, elektrik şebekesi yeniden yapılandırması veya lojistik planlama) aynı uyarlama döngüsü ve aynı kapı dizisi değişiklik yapılmadan kullanılabilir. Alana özgü olan bileşenler yalnızca sözlük, maliyet terimleri ve benzetimdir.</w:t>
      </w:r>
    </w:p>
    <w:p>
      <w:pPr>
        <w:pStyle w:val="BodyTextNext"/>
        <w:spacing w:after="80"/>
      </w:pPr>
      <w:r>
        <w:t xml:space="preserve">Yöntemin iki sınırı vardır. Birincisi, fiziksel etki kümesi öneriye açık değildir. Sözlüğe yeni bir etki eklemek, benzetimde doğrulanmış yeni bir alan gerektirir ve bu ekleme tasarımcı tarafından yapılır; doğrulanmamış bir etkinin öneriyle eklenmesi, benzetimin güvence işlevini ortadan kaldırır. İkincisi, önerici deterministik olmadığından tek tek öneriler birebir yeniden üretilemez. Yeniden üretilebilir olan süreçtir: Kullanılan model, istem şablonu ve tohum tasarımı sabitlenmiştir; kabul kararlarının tamamı belirlenimcidir ve kayıt altındadır.</w:t>
      </w:r>
    </w:p>
    <w:p>
      <w:pPr>
        <w:pStyle w:val="BodyTextNext"/>
        <w:keepNext/>
        <w:spacing w:before="200" w:after="100"/>
        <w:jc w:val="center"/>
      </w:pPr>
      <w:r>
        <w:rPr>
          <w:bCs/>
          <w:b/>
        </w:rPr>
        <w:t xml:space="preserve">7. Sonuçlar</w:t>
      </w:r>
    </w:p>
    <w:p>
      <w:pPr>
        <w:pStyle w:val="BodyTextNext"/>
        <w:spacing w:after="80"/>
      </w:pPr>
      <w:r>
        <w:t xml:space="preserve">Bu bildiride, kural tabanlı KDS’lerdeki kapalı karar uzayı sorununa yönelik aşamalı bir uyarlama mimarisi önerilmiştir. Parametre ayarı ve çözünürlük büyütme, mevcut bilgiyi duruma göre esnetmekte; şema kısıtlı BDM önerisi ise tabana yeni kurallar, kavramlar ve bileşik müdahaleler eklemektedir. Önerilerin güvenilirliği model eğitimiyle değil doğrulama süreciyle sağlanmaktadır: Belirlenimci kapı dizisi, çift tohumlu benzetim denetimi ve yeterlilik temelli kabul, üretken bir bileşenin kritik bir karar döngüsünde denetlenebilir biçimde kullanılmasına olanak vermektedir. Orman yangını örneği, mekanizmanın hem seçici (%11-21 kabul) hem de etkili (yanan alanın yarıya inmesi) olduğunu göstermiştir. Gelecek çalışmalarda mimarinin farklı afet türlerine ve endüstriyel KDS’lere aktarılması ve operatör güveninin saha çalışmalarıyla ölçülmesi planlanmaktadır.</w:t>
      </w:r>
    </w:p>
    <w:p>
      <w:pPr>
        <w:pStyle w:val="BodyTextNext"/>
        <w:keepNext/>
        <w:spacing w:before="200" w:after="100"/>
        <w:jc w:val="center"/>
      </w:pPr>
      <w:r>
        <w:rPr>
          <w:bCs/>
          <w:b/>
        </w:rPr>
        <w:t xml:space="preserve">Kaynakça</w:t>
      </w:r>
    </w:p>
    <w:p>
      <w:pPr>
        <w:pStyle w:val="Reference"/>
      </w:pPr>
      <w:r>
        <w:t xml:space="preserve">M. T. Ribeiro, S. Singh ve C. Guestrin,</w:t>
      </w:r>
      <w:r>
        <w:t xml:space="preserve"> </w:t>
      </w:r>
      <w:r>
        <w:t xml:space="preserve">“</w:t>
      </w:r>
      <w:r>
        <w:t xml:space="preserve">Why Should I Trust You? Explaining the Predictions of Any Classifier,</w:t>
      </w:r>
      <w:r>
        <w:t xml:space="preserve">”</w:t>
      </w:r>
      <w:r>
        <w:t xml:space="preserve"> </w:t>
      </w:r>
      <w:r>
        <w:rPr>
          <w:iCs/>
          <w:i/>
        </w:rPr>
        <w:t xml:space="preserve">Proc. of the 22nd ACM SIGKDD</w:t>
      </w:r>
      <w:r>
        <w:t xml:space="preserve">, San Francisco, U.S.A., s:1135-1144, 2016.</w:t>
      </w:r>
    </w:p>
    <w:p>
      <w:pPr>
        <w:pStyle w:val="Reference"/>
      </w:pPr>
      <w:r>
        <w:t xml:space="preserve">R. Guidotti ve diğerleri,</w:t>
      </w:r>
      <w:r>
        <w:t xml:space="preserve"> </w:t>
      </w:r>
      <w:r>
        <w:t xml:space="preserve">“</w:t>
      </w:r>
      <w:r>
        <w:t xml:space="preserve">A Survey of Methods for Explaining Black Box Models,</w:t>
      </w:r>
      <w:r>
        <w:t xml:space="preserve">”</w:t>
      </w:r>
      <w:r>
        <w:t xml:space="preserve"> </w:t>
      </w:r>
      <w:r>
        <w:rPr>
          <w:iCs/>
          <w:i/>
        </w:rPr>
        <w:t xml:space="preserve">ACM Computing Surveys</w:t>
      </w:r>
      <w:r>
        <w:t xml:space="preserve">, Cilt: 51, No: 5, s:1-42, 2018.</w:t>
      </w:r>
    </w:p>
    <w:p>
      <w:pPr>
        <w:pStyle w:val="Reference"/>
      </w:pPr>
      <w:r>
        <w:t xml:space="preserve">P. Angelov ve D. Filev,</w:t>
      </w:r>
      <w:r>
        <w:t xml:space="preserve"> </w:t>
      </w:r>
      <w:r>
        <w:t xml:space="preserve">“</w:t>
      </w:r>
      <w:r>
        <w:t xml:space="preserve">An Approach to Online Identification of Takagi-Sugeno Fuzzy Models,</w:t>
      </w:r>
      <w:r>
        <w:t xml:space="preserve">”</w:t>
      </w:r>
      <w:r>
        <w:t xml:space="preserve"> </w:t>
      </w:r>
      <w:r>
        <w:rPr>
          <w:iCs/>
          <w:i/>
        </w:rPr>
        <w:t xml:space="preserve">IEEE Trans. on Systems, Man, and Cybernetics, Part B</w:t>
      </w:r>
      <w:r>
        <w:t xml:space="preserve">, Cilt: 34, No: 1, s:484-498, 2004.</w:t>
      </w:r>
    </w:p>
    <w:p>
      <w:pPr>
        <w:pStyle w:val="Reference"/>
      </w:pPr>
      <w:r>
        <w:t xml:space="preserve">T. Brown ve diğerleri,</w:t>
      </w:r>
      <w:r>
        <w:t xml:space="preserve"> </w:t>
      </w:r>
      <w:r>
        <w:t xml:space="preserve">“</w:t>
      </w:r>
      <w:r>
        <w:t xml:space="preserve">Language Models are Few-Shot Learners,</w:t>
      </w:r>
      <w:r>
        <w:t xml:space="preserve">”</w:t>
      </w:r>
      <w:r>
        <w:t xml:space="preserve"> </w:t>
      </w:r>
      <w:r>
        <w:rPr>
          <w:iCs/>
          <w:i/>
        </w:rPr>
        <w:t xml:space="preserve">Advances in Neural Information Processing Systems 33</w:t>
      </w:r>
      <w:r>
        <w:t xml:space="preserve">, s:1877-1901, 2020.</w:t>
      </w:r>
    </w:p>
    <w:p>
      <w:pPr>
        <w:pStyle w:val="Reference"/>
      </w:pPr>
      <w:r>
        <w:t xml:space="preserve">H. A. Simon,</w:t>
      </w:r>
      <w:r>
        <w:t xml:space="preserve"> </w:t>
      </w:r>
      <w:r>
        <w:t xml:space="preserve">“</w:t>
      </w:r>
      <w:r>
        <w:t xml:space="preserve">Rational Choice and the Structure of the Environment,</w:t>
      </w:r>
      <w:r>
        <w:t xml:space="preserve">”</w:t>
      </w:r>
      <w:r>
        <w:t xml:space="preserve"> </w:t>
      </w:r>
      <w:r>
        <w:rPr>
          <w:iCs/>
          <w:i/>
        </w:rPr>
        <w:t xml:space="preserve">Psychological Review</w:t>
      </w:r>
      <w:r>
        <w:t xml:space="preserve">, Cilt: 63, No: 2, s:129-138, 1956.</w:t>
      </w:r>
    </w:p>
    <w:p>
      <w:pPr>
        <w:pStyle w:val="Reference"/>
      </w:pPr>
      <w:r>
        <w:t xml:space="preserve">T. Takagi ve M. Sugeno,</w:t>
      </w:r>
      <w:r>
        <w:t xml:space="preserve"> </w:t>
      </w:r>
      <w:r>
        <w:t xml:space="preserve">“</w:t>
      </w:r>
      <w:r>
        <w:t xml:space="preserve">Fuzzy Identification of Systems and Its Applications to Modeling and Control,</w:t>
      </w:r>
      <w:r>
        <w:t xml:space="preserve">”</w:t>
      </w:r>
      <w:r>
        <w:t xml:space="preserve"> </w:t>
      </w:r>
      <w:r>
        <w:rPr>
          <w:iCs/>
          <w:i/>
        </w:rPr>
        <w:t xml:space="preserve">IEEE Trans. on Systems, Man, and Cybernetics</w:t>
      </w:r>
      <w:r>
        <w:t xml:space="preserve">, Cilt: 15, No: 1, s:116-132, 1985.</w:t>
      </w:r>
    </w:p>
    <w:p>
      <w:pPr>
        <w:pStyle w:val="Reference"/>
      </w:pPr>
      <w:r>
        <w:t xml:space="preserve">R. S. Sutton ve A. G. Barto,</w:t>
      </w:r>
      <w:r>
        <w:t xml:space="preserve"> </w:t>
      </w:r>
      <w:r>
        <w:rPr>
          <w:iCs/>
          <w:i/>
        </w:rPr>
        <w:t xml:space="preserve">Reinforcement Learning: An Introduction</w:t>
      </w:r>
      <w:r>
        <w:t xml:space="preserve">, 2. Baskı, MIT Press, 2018.</w:t>
      </w:r>
    </w:p>
    <w:p>
      <w:pPr>
        <w:pStyle w:val="Reference"/>
      </w:pPr>
      <w:r>
        <w:t xml:space="preserve">Ç. Akman,</w:t>
      </w:r>
      <w:r>
        <w:t xml:space="preserve"> </w:t>
      </w:r>
      <w:r>
        <w:rPr>
          <w:iCs/>
          <w:i/>
        </w:rPr>
        <w:t xml:space="preserve">Enhanced Decision Support System for Wildfire Disaster Response and Management</w:t>
      </w:r>
      <w:r>
        <w:t xml:space="preserve">, Doktora Tezi, Orta Doğu Teknik Üniversitesi, 2026.</w:t>
      </w:r>
    </w:p>
    <w:sectPr>
      <w:type w:val="continuous"/>
      <w:pgSz w:h="16838" w:w="11906"/>
      <w:pgMar w:bottom="1871" w:footer="0" w:gutter="0" w:header="0" w:left="1134" w:right="1134" w:top="1588"/>
      <w:cols w:num="2" w:space="566" w:equalWidth="true" w:sep="fals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a2" w:characterSet="windows-1254"/>
    <w:family w:val="roman"/>
    <w:pitch w:val="variable"/>
  </w:font>
  <w:font w:name="Arial">
    <w:charset w:val="a2" w:characterSet="windows-1254"/>
    <w:family w:val="swiss"/>
    <w:pitch w:val="variable"/>
  </w:font>
  <w:font w:name="Courier New">
    <w:charset w:val="a2" w:characterSet="windows-1254"/>
    <w:family w:val="modern"/>
    <w:pitch w:val="default"/>
  </w:font>
  <w:font w:name="Wingdings">
    <w:charset w:val="02"/>
    <w:family w:val="auto"/>
    <w:pitch w:val="variable"/>
  </w:font>
  <w:font w:name="Liberation Sans">
    <w:altName w:val="Arial"/>
    <w:charset w:val="01" w:characterSet="utf-8"/>
    <w:family w:val="swiss"/>
    <w:pitch w:val="variable"/>
  </w:font>
  <w:font w:name="Courier">
    <w:altName w:val="Courier New"/>
    <w:charset w:val="00" w:characterSet="windows-1252"/>
    <w:family w:val="modern"/>
    <w:pitch w:val="default"/>
  </w:font>
  <w:font w:name="Tahoma">
    <w:charset w:val="a2" w:characterSet="windows-1254"/>
    <w:family w:val="swiss"/>
    <w:pitch w:val="variable"/>
  </w:font>
  <w:font w:name="Helvetica">
    <w:altName w:val="Arial"/>
    <w:charset w:val="a2" w:characterSet="windows-1254"/>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pStyle w:val="Heading1"/>
      <w:numFmt w:val="decimal"/>
      <w:lvlText w:val="%1."/>
      <w:lvlJc w:val="start"/>
      <w:pPr>
        <w:tabs>
          <w:tab w:pos="360" w:val="num"/>
        </w:tabs>
        <w:ind w:hanging="28" w:start="28"/>
      </w:pPr>
    </w:lvl>
    <w:lvl w:ilvl="1">
      <w:start w:val="1"/>
      <w:pStyle w:val="Heading2"/>
      <w:numFmt w:val="decimal"/>
      <w:lvlText w:val="%1.%2."/>
      <w:lvlJc w:val="start"/>
      <w:pPr>
        <w:tabs>
          <w:tab w:pos="360" w:val="num"/>
        </w:tabs>
        <w:ind w:hanging="0" w:start="0"/>
      </w:pPr>
    </w:lvl>
    <w:lvl w:ilvl="2">
      <w:start w:val="1"/>
      <w:pStyle w:val="Heading3"/>
      <w:numFmt w:val="decimal"/>
      <w:lvlText w:val="%1.%2.%3."/>
      <w:lvlJc w:val="start"/>
      <w:pPr>
        <w:tabs>
          <w:tab w:pos="720" w:val="num"/>
        </w:tabs>
        <w:ind w:hanging="0" w:start="0"/>
      </w:pPr>
    </w:lvl>
    <w:lvl w:ilvl="3">
      <w:start w:val="1"/>
      <w:pStyle w:val="Heading4"/>
      <w:numFmt w:val="decimal"/>
      <w:lvlText w:val="%1.%2.%3.%4"/>
      <w:lvlJc w:val="start"/>
      <w:pPr>
        <w:tabs>
          <w:tab w:pos="0" w:val="num"/>
        </w:tabs>
        <w:ind w:hanging="0" w:start="0"/>
      </w:pPr>
    </w:lvl>
    <w:lvl w:ilvl="4">
      <w:start w:val="1"/>
      <w:pStyle w:val="Heading5"/>
      <w:numFmt w:val="decimal"/>
      <w:lvlText w:val="%1.%2.%3.%4.%5"/>
      <w:lvlJc w:val="start"/>
      <w:pPr>
        <w:tabs>
          <w:tab w:pos="0" w:val="num"/>
        </w:tabs>
        <w:ind w:hanging="0" w:start="0"/>
      </w:pPr>
    </w:lvl>
    <w:lvl w:ilvl="5">
      <w:start w:val="1"/>
      <w:pStyle w:val="Heading6"/>
      <w:numFmt w:val="decimal"/>
      <w:lvlText w:val="%1.%2.%3.%4.%5.%6"/>
      <w:lvlJc w:val="start"/>
      <w:pPr>
        <w:tabs>
          <w:tab w:pos="0" w:val="num"/>
        </w:tabs>
        <w:ind w:hanging="0" w:start="0"/>
      </w:pPr>
    </w:lvl>
    <w:lvl w:ilvl="6">
      <w:start w:val="1"/>
      <w:pStyle w:val="Heading7"/>
      <w:numFmt w:val="decimal"/>
      <w:lvlText w:val="%1.%2.%3.%4.%5.%6.%7"/>
      <w:lvlJc w:val="start"/>
      <w:pPr>
        <w:tabs>
          <w:tab w:pos="0" w:val="num"/>
        </w:tabs>
        <w:ind w:hanging="0" w:start="0"/>
      </w:pPr>
    </w:lvl>
    <w:lvl w:ilvl="7">
      <w:start w:val="1"/>
      <w:pStyle w:val="Heading8"/>
      <w:numFmt w:val="decimal"/>
      <w:lvlText w:val="%1.%2.%3.%4.%5.%6.%7.%8"/>
      <w:lvlJc w:val="start"/>
      <w:pPr>
        <w:tabs>
          <w:tab w:pos="0" w:val="num"/>
        </w:tabs>
        <w:ind w:hanging="0" w:start="0"/>
      </w:pPr>
    </w:lvl>
    <w:lvl w:ilvl="8">
      <w:start w:val="1"/>
      <w:pStyle w:val="Heading9"/>
      <w:numFmt w:val="decimal"/>
      <w:lvlText w:val="%1.%2.%3.%4.%5.%6.%7.%8.%9"/>
      <w:lvlJc w:val="start"/>
      <w:pPr>
        <w:tabs>
          <w:tab w:pos="0" w:val="num"/>
        </w:tabs>
        <w:ind w:hanging="0" w:start="0"/>
      </w:pPr>
    </w:lvl>
  </w:abstractNum>
  <w:abstractNum w:abstractNumId="2">
    <w:lvl w:ilvl="0">
      <w:start w:val="1"/>
      <w:numFmt w:val="bullet"/>
      <w:lvlText w:val=""/>
      <w:lvlJc w:val="start"/>
      <w:pPr>
        <w:tabs>
          <w:tab w:pos="360" w:val="num"/>
        </w:tabs>
        <w:ind w:hanging="360" w:start="360"/>
      </w:pPr>
      <w:rPr>
        <w:rFonts w:ascii="Symbol" w:cs="Symbol" w:hAnsi="Symbol" w:hint="default"/>
      </w:rPr>
    </w:lvl>
  </w:abstractNum>
  <w:abstractNum w:abstractNumId="3">
    <w:lvl w:ilvl="0">
      <w:start w:val="1"/>
      <w:numFmt w:val="decimal"/>
      <w:lvlText w:val="%1."/>
      <w:lvlJc w:val="start"/>
      <w:pPr>
        <w:tabs>
          <w:tab w:pos="360" w:val="num"/>
        </w:tabs>
        <w:ind w:hanging="360" w:start="360"/>
      </w:pPr>
    </w:lvl>
  </w:abstractNum>
  <w:abstractNum w:abstractNumId="4">
    <w:lvl w:ilvl="0">
      <w:start w:val="1"/>
      <w:numFmt w:val="decimal"/>
      <w:lvlText w:val="[%1]"/>
      <w:lvlJc w:val="start"/>
      <w:pPr>
        <w:tabs>
          <w:tab w:pos="360" w:val="num"/>
        </w:tabs>
        <w:ind w:hanging="360" w:start="360"/>
      </w:pPr>
    </w:lvl>
  </w:abstractNum>
  <w:abstractNum w:abstractNumId="5">
    <w:lvl w:ilvl="0">
      <w:start w:val="1"/>
      <w:numFmt w:val="bullet"/>
      <w:lvlText w:val=""/>
      <w:lvlJc w:val="start"/>
      <w:pPr>
        <w:tabs>
          <w:tab w:pos="0" w:val="num"/>
        </w:tabs>
        <w:ind w:hanging="360" w:start="720"/>
      </w:pPr>
      <w:rPr>
        <w:rFonts w:ascii="Symbol" w:cs="Symbol" w:hAnsi="Symbol" w:hint="default"/>
      </w:rPr>
    </w:lvl>
  </w:abstractNum>
  <w:abstractNum w:abstractNumId="6">
    <w:lvl w:ilvl="0">
      <w:start w:val="1"/>
      <w:numFmt w:val="decimal"/>
      <w:lvlText w:val="%1"/>
      <w:lvlJc w:val="start"/>
      <w:pPr>
        <w:tabs>
          <w:tab w:pos="360" w:val="num"/>
        </w:tabs>
        <w:ind w:hanging="360" w:start="360"/>
      </w:pPr>
    </w:lvl>
    <w:lvl w:ilvl="1">
      <w:start w:val="1"/>
      <w:numFmt w:val="decimal"/>
      <w:lvlText w:val="%2."/>
      <w:lvlJc w:val="start"/>
      <w:pPr>
        <w:tabs>
          <w:tab w:pos="1080" w:val="num"/>
        </w:tabs>
        <w:ind w:hanging="360" w:start="1080"/>
      </w:pPr>
    </w:lvl>
    <w:lvl w:ilvl="2">
      <w:start w:val="1"/>
      <w:numFmt w:val="decimal"/>
      <w:lvlText w:val="%3."/>
      <w:lvlJc w:val="start"/>
      <w:pPr>
        <w:tabs>
          <w:tab w:pos="1440" w:val="num"/>
        </w:tabs>
        <w:ind w:hanging="360" w:start="1440"/>
      </w:pPr>
    </w:lvl>
    <w:lvl w:ilvl="3">
      <w:start w:val="1"/>
      <w:numFmt w:val="decimal"/>
      <w:lvlText w:val="%4."/>
      <w:lvlJc w:val="start"/>
      <w:pPr>
        <w:tabs>
          <w:tab w:pos="1800" w:val="num"/>
        </w:tabs>
        <w:ind w:hanging="360" w:start="1800"/>
      </w:pPr>
    </w:lvl>
    <w:lvl w:ilvl="4">
      <w:start w:val="1"/>
      <w:numFmt w:val="decimal"/>
      <w:lvlText w:val="%5."/>
      <w:lvlJc w:val="start"/>
      <w:pPr>
        <w:tabs>
          <w:tab w:pos="2160" w:val="num"/>
        </w:tabs>
        <w:ind w:hanging="360" w:start="2160"/>
      </w:pPr>
    </w:lvl>
    <w:lvl w:ilvl="5">
      <w:start w:val="1"/>
      <w:numFmt w:val="decimal"/>
      <w:lvlText w:val="%6."/>
      <w:lvlJc w:val="start"/>
      <w:pPr>
        <w:tabs>
          <w:tab w:pos="2520" w:val="num"/>
        </w:tabs>
        <w:ind w:hanging="360" w:start="2520"/>
      </w:pPr>
    </w:lvl>
    <w:lvl w:ilvl="6">
      <w:start w:val="1"/>
      <w:numFmt w:val="decimal"/>
      <w:lvlText w:val="%7."/>
      <w:lvlJc w:val="start"/>
      <w:pPr>
        <w:tabs>
          <w:tab w:pos="2880" w:val="num"/>
        </w:tabs>
        <w:ind w:hanging="360" w:start="2880"/>
      </w:pPr>
    </w:lvl>
    <w:lvl w:ilvl="7">
      <w:start w:val="1"/>
      <w:numFmt w:val="decimal"/>
      <w:lvlText w:val="%8."/>
      <w:lvlJc w:val="start"/>
      <w:pPr>
        <w:tabs>
          <w:tab w:pos="3240" w:val="num"/>
        </w:tabs>
        <w:ind w:hanging="360" w:start="3240"/>
      </w:pPr>
    </w:lvl>
    <w:lvl w:ilvl="8">
      <w:start w:val="1"/>
      <w:numFmt w:val="decimal"/>
      <w:lvlText w:val="%9."/>
      <w:lvlJc w:val="start"/>
      <w:pPr>
        <w:tabs>
          <w:tab w:pos="3600" w:val="num"/>
        </w:tabs>
        <w:ind w:hanging="360" w:start="360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w="http://schemas.openxmlformats.org/wordprocessingml/2006/main">
  <w:zoom w:percent="200"/>
  <w:defaultTabStop w:val="709"/>
  <w:autoHyphenation w:val="true"/>
  <w:compat>
    <w:usePrinterMetrics/>
    <w:doNotBreakWrappedTables/>
    <w:compatSetting w:name="compatibilityMode" w:uri="http://schemas.microsoft.com/office/word" w:val="11"/>
  </w:compat>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Liberation Serif" w:cs="FreeSans" w:eastAsia="Noto Serif CJK SC" w:hAnsi="Liberation Serif"/>
        <w:sz w:val="24"/>
        <w:szCs w:val="24"/>
        <w:lang w:bidi="hi-IN" w:eastAsia="zh-CN" w:val="en-US"/>
      </w:rPr>
    </w:rPrDefault>
    <w:pPrDefault>
      <w:pPr>
        <w:suppressAutoHyphens w:val="true"/>
      </w:pPr>
    </w:pPrDefault>
  </w:docDefaults>
  <w:style w:styleId="Normal" w:type="paragraph">
    <w:name w:val="Normal"/>
    <w:qFormat/>
    <w:pPr>
      <w:widowControl/>
      <w:bidi w:val="0"/>
      <w:jc w:val="both"/>
    </w:pPr>
    <w:rPr>
      <w:rFonts w:ascii="Times New Roman" w:cs="Times New Roman" w:eastAsia="MS Mincho;ＭＳ 明朝" w:hAnsi="Times New Roman"/>
      <w:color w:val="auto"/>
      <w:sz w:val="20"/>
      <w:szCs w:val="20"/>
      <w:lang w:bidi="ar-SA" w:eastAsia="zh-CN" w:val="tr-TR"/>
    </w:rPr>
  </w:style>
  <w:style w:styleId="Heading1" w:type="paragraph">
    <w:name w:val="Heading 1"/>
    <w:basedOn w:val="Normal"/>
    <w:next w:val="Normal"/>
    <w:qFormat/>
    <w:pPr>
      <w:keepNext w:val="true"/>
      <w:numPr>
        <w:ilvl w:val="0"/>
        <w:numId w:val="1"/>
      </w:numPr>
      <w:spacing w:after="120" w:before="180"/>
      <w:jc w:val="center"/>
      <w:outlineLvl w:val="0"/>
    </w:pPr>
    <w:rPr>
      <w:b/>
      <w:bCs/>
      <w:sz w:val="22"/>
      <w:szCs w:val="22"/>
    </w:rPr>
  </w:style>
  <w:style w:styleId="Heading2" w:type="paragraph">
    <w:name w:val="Heading 2"/>
    <w:basedOn w:val="Normal"/>
    <w:next w:val="Normal"/>
    <w:qFormat/>
    <w:pPr>
      <w:keepNext w:val="true"/>
      <w:numPr>
        <w:ilvl w:val="1"/>
        <w:numId w:val="1"/>
      </w:numPr>
      <w:spacing w:after="120" w:before="180"/>
      <w:outlineLvl w:val="1"/>
    </w:pPr>
    <w:rPr>
      <w:b/>
      <w:bCs/>
      <w:sz w:val="18"/>
      <w:szCs w:val="18"/>
    </w:rPr>
  </w:style>
  <w:style w:styleId="Heading3" w:type="paragraph">
    <w:name w:val="Heading 3"/>
    <w:basedOn w:val="Normal"/>
    <w:next w:val="Normal"/>
    <w:qFormat/>
    <w:pPr>
      <w:keepNext w:val="true"/>
      <w:numPr>
        <w:ilvl w:val="2"/>
        <w:numId w:val="1"/>
      </w:numPr>
      <w:spacing w:after="120" w:before="180"/>
      <w:outlineLvl w:val="2"/>
    </w:pPr>
    <w:rPr>
      <w:i/>
      <w:iCs/>
      <w:sz w:val="18"/>
      <w:szCs w:val="18"/>
    </w:rPr>
  </w:style>
  <w:style w:styleId="Heading4" w:type="paragraph">
    <w:name w:val="Heading 4"/>
    <w:basedOn w:val="Normal"/>
    <w:next w:val="Normal"/>
    <w:qFormat/>
    <w:pPr>
      <w:keepNext w:val="true"/>
      <w:numPr>
        <w:ilvl w:val="3"/>
        <w:numId w:val="1"/>
      </w:numPr>
      <w:spacing w:after="60" w:before="240"/>
      <w:outlineLvl w:val="3"/>
    </w:pPr>
    <w:rPr>
      <w:b/>
      <w:bCs/>
      <w:i/>
      <w:iCs/>
      <w:sz w:val="18"/>
      <w:szCs w:val="18"/>
    </w:rPr>
  </w:style>
  <w:style w:styleId="Heading5" w:type="paragraph">
    <w:name w:val="Heading 5"/>
    <w:basedOn w:val="Normal"/>
    <w:next w:val="Normal"/>
    <w:qFormat/>
    <w:pPr>
      <w:numPr>
        <w:ilvl w:val="4"/>
        <w:numId w:val="1"/>
      </w:numPr>
      <w:spacing w:after="60" w:before="240"/>
      <w:outlineLvl w:val="4"/>
    </w:pPr>
    <w:rPr>
      <w:sz w:val="18"/>
      <w:szCs w:val="18"/>
    </w:rPr>
  </w:style>
  <w:style w:styleId="Heading6" w:type="paragraph">
    <w:name w:val="Heading 6"/>
    <w:basedOn w:val="Normal"/>
    <w:next w:val="Normal"/>
    <w:qFormat/>
    <w:pPr>
      <w:numPr>
        <w:ilvl w:val="5"/>
        <w:numId w:val="1"/>
      </w:numPr>
      <w:spacing w:after="60" w:before="240"/>
      <w:outlineLvl w:val="5"/>
    </w:pPr>
    <w:rPr>
      <w:rFonts w:ascii="Arial" w:cs="Arial" w:hAnsi="Arial"/>
      <w:i/>
      <w:iCs/>
      <w:sz w:val="22"/>
      <w:szCs w:val="22"/>
    </w:rPr>
  </w:style>
  <w:style w:styleId="Heading7" w:type="paragraph">
    <w:name w:val="Heading 7"/>
    <w:basedOn w:val="Normal"/>
    <w:next w:val="Normal"/>
    <w:qFormat/>
    <w:pPr>
      <w:numPr>
        <w:ilvl w:val="6"/>
        <w:numId w:val="1"/>
      </w:numPr>
      <w:spacing w:after="60" w:before="240"/>
      <w:outlineLvl w:val="6"/>
    </w:pPr>
    <w:rPr>
      <w:rFonts w:ascii="Arial" w:cs="Arial" w:hAnsi="Arial"/>
    </w:rPr>
  </w:style>
  <w:style w:styleId="Heading8" w:type="paragraph">
    <w:name w:val="Heading 8"/>
    <w:basedOn w:val="Normal"/>
    <w:next w:val="Normal"/>
    <w:qFormat/>
    <w:pPr>
      <w:numPr>
        <w:ilvl w:val="7"/>
        <w:numId w:val="1"/>
      </w:numPr>
      <w:spacing w:after="60" w:before="240"/>
      <w:outlineLvl w:val="7"/>
    </w:pPr>
    <w:rPr>
      <w:rFonts w:ascii="Arial" w:cs="Arial" w:hAnsi="Arial"/>
      <w:i/>
      <w:iCs/>
    </w:rPr>
  </w:style>
  <w:style w:styleId="Heading9" w:type="paragraph">
    <w:name w:val="Heading 9"/>
    <w:basedOn w:val="Normal"/>
    <w:next w:val="Normal"/>
    <w:qFormat/>
    <w:pPr>
      <w:numPr>
        <w:ilvl w:val="8"/>
        <w:numId w:val="1"/>
      </w:numPr>
      <w:spacing w:after="60" w:before="240"/>
      <w:outlineLvl w:val="8"/>
    </w:pPr>
    <w:rPr>
      <w:rFonts w:ascii="Arial" w:cs="Arial" w:hAnsi="Arial"/>
      <w:i/>
      <w:iCs/>
    </w:rPr>
  </w:style>
  <w:style w:styleId="WW8Num2z0" w:type="character">
    <w:name w:val="WW8Num2z0"/>
    <w:qFormat/>
    <w:rPr>
      <w:rFonts w:ascii="Symbol" w:cs="Symbol" w:hAnsi="Symbol"/>
    </w:rPr>
  </w:style>
  <w:style w:styleId="WW8Num3z0" w:type="character">
    <w:name w:val="WW8Num3z0"/>
    <w:qFormat/>
    <w:rPr>
      <w:rFonts w:ascii="Symbol" w:cs="Symbol" w:hAnsi="Symbol"/>
    </w:rPr>
  </w:style>
  <w:style w:styleId="WW8Num3z1" w:type="character">
    <w:name w:val="WW8Num3z1"/>
    <w:qFormat/>
    <w:rPr>
      <w:rFonts w:ascii="Courier New" w:cs="Courier New" w:hAnsi="Courier New"/>
    </w:rPr>
  </w:style>
  <w:style w:styleId="WW8Num3z2" w:type="character">
    <w:name w:val="WW8Num3z2"/>
    <w:qFormat/>
    <w:rPr>
      <w:rFonts w:ascii="Wingdings" w:cs="Wingdings" w:hAnsi="Wingdings"/>
    </w:rPr>
  </w:style>
  <w:style w:styleId="WW8Num6z0" w:type="character">
    <w:name w:val="WW8Num6z0"/>
    <w:qFormat/>
    <w:rPr/>
  </w:style>
  <w:style w:styleId="WW8Num7z0" w:type="character">
    <w:name w:val="WW8Num7z0"/>
    <w:qFormat/>
    <w:rPr>
      <w:rFonts w:ascii="Symbol" w:cs="Symbol" w:hAnsi="Symbol"/>
    </w:rPr>
  </w:style>
  <w:style w:styleId="WW8Num7z1" w:type="character">
    <w:name w:val="WW8Num7z1"/>
    <w:qFormat/>
    <w:rPr>
      <w:rFonts w:ascii="Courier New" w:cs="Courier New" w:hAnsi="Courier New"/>
    </w:rPr>
  </w:style>
  <w:style w:styleId="WW8Num7z2" w:type="character">
    <w:name w:val="WW8Num7z2"/>
    <w:qFormat/>
    <w:rPr>
      <w:rFonts w:ascii="Wingdings" w:cs="Wingdings" w:hAnsi="Wingdings"/>
    </w:rPr>
  </w:style>
  <w:style w:styleId="VarsaylanParagrafYazTipi" w:type="character">
    <w:name w:val="Varsayılan Paragraf Yazı Tipi"/>
    <w:qFormat/>
    <w:rPr/>
  </w:style>
  <w:style w:styleId="EndnoteCharacters" w:type="character">
    <w:name w:val="Endnote Characters"/>
    <w:qFormat/>
    <w:rPr>
      <w:vertAlign w:val="superscript"/>
    </w:rPr>
  </w:style>
  <w:style w:styleId="FootnoteCharacters" w:type="character">
    <w:name w:val="Footnote Characters"/>
    <w:qFormat/>
    <w:rPr>
      <w:vertAlign w:val="superscript"/>
    </w:rPr>
  </w:style>
  <w:style w:styleId="Superscript" w:type="character">
    <w:name w:val="Superscript"/>
    <w:qFormat/>
    <w:rPr>
      <w:vertAlign w:val="superscript"/>
    </w:rPr>
  </w:style>
  <w:style w:styleId="Emphasis" w:type="character">
    <w:name w:val="Emphasis"/>
    <w:qFormat/>
    <w:rPr>
      <w:i/>
      <w:iCs/>
    </w:rPr>
  </w:style>
  <w:style w:styleId="AklamaBavurusu" w:type="character">
    <w:name w:val="Açıklama Başvurusu"/>
    <w:qFormat/>
    <w:rPr>
      <w:sz w:val="16"/>
      <w:szCs w:val="16"/>
    </w:rPr>
  </w:style>
  <w:style w:styleId="Hyperlink" w:type="character">
    <w:name w:val="Hyperlink"/>
    <w:rPr>
      <w:color w:val="0000FF"/>
      <w:u w:val="single"/>
    </w:rPr>
  </w:style>
  <w:style w:styleId="FollowedHyperlink" w:type="character">
    <w:name w:val="FollowedHyperlink"/>
    <w:rPr>
      <w:color w:val="800080"/>
      <w:u w:val="single"/>
    </w:rPr>
  </w:style>
  <w:style w:styleId="Heading" w:type="paragraph">
    <w:name w:val="Heading"/>
    <w:basedOn w:val="Normal"/>
    <w:next w:val="BodyText"/>
    <w:qFormat/>
    <w:pPr>
      <w:keepNext w:val="true"/>
      <w:spacing w:after="120" w:before="240"/>
    </w:pPr>
    <w:rPr>
      <w:rFonts w:ascii="Liberation Sans" w:cs="FreeSans" w:eastAsia="Noto Sans CJK SC" w:hAnsi="Liberation Sans"/>
      <w:sz w:val="28"/>
      <w:szCs w:val="28"/>
    </w:rPr>
  </w:style>
  <w:style w:styleId="BodyText" w:type="paragraph">
    <w:name w:val="Body Text"/>
    <w:basedOn w:val="Normal"/>
    <w:pPr>
      <w:spacing w:after="140" w:before="0" w:line="276" w:lineRule="auto"/>
    </w:pPr>
    <w:rPr/>
  </w:style>
  <w:style w:styleId="List" w:type="paragraph">
    <w:name w:val="List"/>
    <w:basedOn w:val="BodyText"/>
    <w:pPr/>
    <w:rPr>
      <w:rFonts w:cs="FreeSans"/>
    </w:rPr>
  </w:style>
  <w:style w:styleId="Caption" w:type="paragraph">
    <w:name w:val="Caption"/>
    <w:basedOn w:val="Normal"/>
    <w:qFormat/>
    <w:pPr>
      <w:suppressLineNumbers/>
      <w:spacing w:after="120" w:before="120"/>
    </w:pPr>
    <w:rPr>
      <w:rFonts w:cs="FreeSans"/>
      <w:i/>
      <w:iCs/>
      <w:sz w:val="24"/>
      <w:szCs w:val="24"/>
    </w:rPr>
  </w:style>
  <w:style w:styleId="Index" w:type="paragraph">
    <w:name w:val="Index"/>
    <w:basedOn w:val="Normal"/>
    <w:qFormat/>
    <w:pPr>
      <w:suppressLineNumbers/>
    </w:pPr>
    <w:rPr>
      <w:rFonts w:cs="FreeSans"/>
    </w:rPr>
  </w:style>
  <w:style w:styleId="AklamaMetni" w:type="paragraph">
    <w:name w:val="Açıklama Metni"/>
    <w:basedOn w:val="Normal"/>
    <w:qFormat/>
    <w:pPr/>
    <w:rPr/>
  </w:style>
  <w:style w:styleId="FootnoteBase" w:type="paragraph">
    <w:name w:val="Footnote Base"/>
    <w:basedOn w:val="Normal"/>
    <w:qFormat/>
    <w:pPr>
      <w:tabs>
        <w:tab w:pos="720" w:val="clear"/>
        <w:tab w:leader="none" w:pos="187" w:val="left"/>
      </w:tabs>
      <w:spacing w:line="220" w:lineRule="exact"/>
      <w:ind w:end="0" w:hanging="187" w:start="187"/>
    </w:pPr>
    <w:rPr>
      <w:sz w:val="18"/>
      <w:szCs w:val="18"/>
    </w:rPr>
  </w:style>
  <w:style w:styleId="ResimYazs" w:type="paragraph">
    <w:name w:val="Resim Yazısı"/>
    <w:basedOn w:val="Normal"/>
    <w:next w:val="Normal"/>
    <w:qFormat/>
    <w:pPr>
      <w:spacing w:after="240" w:before="120"/>
      <w:ind w:end="289" w:hanging="0" w:start="289"/>
    </w:pPr>
    <w:rPr>
      <w:i/>
      <w:iCs/>
      <w:sz w:val="18"/>
      <w:szCs w:val="18"/>
    </w:rPr>
  </w:style>
  <w:style w:styleId="Picture" w:type="paragraph">
    <w:name w:val="Picture"/>
    <w:basedOn w:val="Normal"/>
    <w:next w:val="ResimYazs"/>
    <w:qFormat/>
    <w:pPr>
      <w:keepNext w:val="true"/>
      <w:spacing w:after="60" w:before="200"/>
      <w:ind w:end="43" w:hanging="0" w:start="0"/>
      <w:jc w:val="center"/>
    </w:pPr>
    <w:rPr>
      <w:sz w:val="18"/>
      <w:szCs w:val="18"/>
    </w:rPr>
  </w:style>
  <w:style w:styleId="URL" w:type="paragraph">
    <w:name w:val="URL"/>
    <w:basedOn w:val="Normal"/>
    <w:qFormat/>
    <w:pPr/>
    <w:rPr>
      <w:rFonts w:ascii="Courier" w:cs="Courier" w:hAnsi="Courier"/>
      <w:lang w:val="en-GB"/>
    </w:rPr>
  </w:style>
  <w:style w:styleId="HeaderandFooter" w:type="paragraph">
    <w:name w:val="Header and Footer"/>
    <w:basedOn w:val="Normal"/>
    <w:qFormat/>
    <w:pPr>
      <w:suppressLineNumbers/>
      <w:tabs>
        <w:tab w:pos="720" w:val="clear"/>
        <w:tab w:leader="none" w:pos="4819" w:val="center"/>
        <w:tab w:leader="none" w:pos="9638" w:val="right"/>
      </w:tabs>
    </w:pPr>
    <w:rPr/>
  </w:style>
  <w:style w:styleId="Footer" w:type="paragraph">
    <w:name w:val="Footer"/>
    <w:basedOn w:val="Normal"/>
    <w:pPr>
      <w:tabs>
        <w:tab w:pos="720" w:val="clear"/>
        <w:tab w:leader="none" w:pos="4320" w:val="center"/>
        <w:tab w:leader="none" w:pos="8640" w:val="right"/>
      </w:tabs>
    </w:pPr>
    <w:rPr/>
  </w:style>
  <w:style w:styleId="FootnoteText" w:type="paragraph">
    <w:name w:val="Footnote Text"/>
    <w:basedOn w:val="Normal"/>
    <w:pPr/>
    <w:rPr/>
  </w:style>
  <w:style w:styleId="MakroMetni" w:type="paragraph">
    <w:name w:val="Makro Metni"/>
    <w:basedOn w:val="Normal"/>
    <w:qFormat/>
    <w:pPr>
      <w:spacing w:after="120" w:before="0"/>
      <w:ind w:end="45" w:hanging="0" w:start="0"/>
    </w:pPr>
    <w:rPr>
      <w:rFonts w:ascii="Courier New" w:cs="Courier New" w:hAnsi="Courier New"/>
      <w:sz w:val="18"/>
      <w:szCs w:val="18"/>
    </w:rPr>
  </w:style>
  <w:style w:styleId="Author" w:type="paragraph">
    <w:name w:val="Author"/>
    <w:basedOn w:val="Normal"/>
    <w:next w:val="Normal"/>
    <w:qFormat/>
    <w:pPr>
      <w:spacing w:after="220" w:before="220"/>
      <w:jc w:val="center"/>
    </w:pPr>
    <w:rPr>
      <w:i/>
      <w:iCs/>
      <w:sz w:val="24"/>
      <w:szCs w:val="24"/>
    </w:rPr>
  </w:style>
  <w:style w:styleId="HeadingBase" w:type="paragraph">
    <w:name w:val="Heading Base"/>
    <w:basedOn w:val="Normal"/>
    <w:next w:val="Normal"/>
    <w:qFormat/>
    <w:pPr>
      <w:keepNext w:val="true"/>
      <w:keepLines/>
      <w:spacing w:after="120" w:before="240"/>
    </w:pPr>
    <w:rPr>
      <w:rFonts w:ascii="Arial" w:cs="Arial" w:hAnsi="Arial"/>
      <w:b/>
      <w:bCs/>
      <w:kern w:val="2"/>
      <w:sz w:val="36"/>
      <w:szCs w:val="36"/>
    </w:rPr>
  </w:style>
  <w:style w:styleId="BodyTextIndent" w:type="paragraph">
    <w:name w:val="Body Text Indent"/>
    <w:basedOn w:val="Normal"/>
    <w:pPr>
      <w:numPr>
        <w:ilvl w:val="0"/>
        <w:numId w:val="2"/>
      </w:numPr>
      <w:spacing w:after="120" w:before="0"/>
      <w:ind w:end="45" w:hanging="181" w:start="362"/>
    </w:pPr>
    <w:rPr>
      <w:sz w:val="18"/>
      <w:szCs w:val="18"/>
    </w:rPr>
  </w:style>
  <w:style w:styleId="BodyTextKeep" w:type="paragraph">
    <w:name w:val="Body Text Keep"/>
    <w:basedOn w:val="Normal"/>
    <w:qFormat/>
    <w:pPr>
      <w:keepNext w:val="true"/>
      <w:ind w:end="45" w:hanging="0" w:start="0"/>
    </w:pPr>
    <w:rPr>
      <w:sz w:val="18"/>
      <w:szCs w:val="18"/>
    </w:rPr>
  </w:style>
  <w:style w:styleId="Address" w:type="paragraph">
    <w:name w:val="Address"/>
    <w:basedOn w:val="Normal"/>
    <w:qFormat/>
    <w:pPr>
      <w:keepLines/>
      <w:ind w:end="4320" w:hanging="0" w:start="0"/>
    </w:pPr>
    <w:rPr>
      <w:sz w:val="18"/>
      <w:szCs w:val="18"/>
    </w:rPr>
  </w:style>
  <w:style w:styleId="Reference" w:type="paragraph">
    <w:name w:val="Reference"/>
    <w:basedOn w:val="Normal"/>
    <w:qFormat/>
    <w:pPr>
      <w:numPr>
        <w:ilvl w:val="0"/>
        <w:numId w:val="4"/>
      </w:numPr>
    </w:pPr>
    <w:rPr>
      <w:sz w:val="18"/>
      <w:szCs w:val="18"/>
    </w:rPr>
  </w:style>
  <w:style w:styleId="Equation" w:type="paragraph">
    <w:name w:val="Equation"/>
    <w:basedOn w:val="Normal"/>
    <w:qFormat/>
    <w:pPr>
      <w:tabs>
        <w:tab w:pos="720" w:val="clear"/>
        <w:tab w:leader="none" w:pos="567" w:val="left"/>
        <w:tab w:leader="none" w:pos="4678" w:val="right"/>
      </w:tabs>
      <w:spacing w:after="120" w:before="120"/>
      <w:jc w:val="start"/>
    </w:pPr>
    <w:rPr>
      <w:sz w:val="18"/>
      <w:szCs w:val="18"/>
    </w:rPr>
  </w:style>
  <w:style w:styleId="Title1" w:type="paragraph">
    <w:name w:val="Title1"/>
    <w:basedOn w:val="Normal"/>
    <w:next w:val="Author"/>
    <w:qFormat/>
    <w:pPr>
      <w:spacing w:after="0" w:before="100"/>
      <w:ind w:end="720" w:hanging="0" w:start="1134"/>
      <w:jc w:val="center"/>
    </w:pPr>
    <w:rPr>
      <w:b/>
      <w:bCs/>
      <w:sz w:val="28"/>
      <w:szCs w:val="28"/>
    </w:rPr>
  </w:style>
  <w:style w:styleId="Item" w:type="paragraph">
    <w:name w:val="Item"/>
    <w:basedOn w:val="Normal"/>
    <w:qFormat/>
    <w:pPr>
      <w:numPr>
        <w:ilvl w:val="0"/>
        <w:numId w:val="6"/>
      </w:numPr>
      <w:ind w:end="288" w:hanging="360" w:start="360"/>
    </w:pPr>
    <w:rPr>
      <w:sz w:val="18"/>
      <w:szCs w:val="18"/>
    </w:rPr>
  </w:style>
  <w:style w:styleId="Abstract" w:type="paragraph">
    <w:name w:val="Abstract"/>
    <w:basedOn w:val="Normal"/>
    <w:next w:val="Normal"/>
    <w:qFormat/>
    <w:pPr>
      <w:ind w:end="45" w:hanging="0" w:start="0"/>
    </w:pPr>
    <w:rPr>
      <w:sz w:val="18"/>
      <w:szCs w:val="18"/>
    </w:rPr>
  </w:style>
  <w:style w:styleId="NumItem" w:type="paragraph">
    <w:name w:val="NumItem"/>
    <w:basedOn w:val="Normal"/>
    <w:qFormat/>
    <w:pPr>
      <w:numPr>
        <w:ilvl w:val="0"/>
        <w:numId w:val="3"/>
      </w:numPr>
      <w:ind w:end="288" w:hanging="0" w:start="0"/>
    </w:pPr>
    <w:rPr>
      <w:sz w:val="18"/>
      <w:szCs w:val="18"/>
    </w:rPr>
  </w:style>
  <w:style w:styleId="Affiliation" w:type="paragraph">
    <w:name w:val="Affiliation"/>
    <w:basedOn w:val="Normal"/>
    <w:qFormat/>
    <w:pPr>
      <w:jc w:val="center"/>
    </w:pPr>
    <w:rPr>
      <w:sz w:val="24"/>
      <w:szCs w:val="24"/>
    </w:rPr>
  </w:style>
  <w:style w:styleId="AbstractHeading" w:type="paragraph">
    <w:name w:val="AbstractHeading"/>
    <w:basedOn w:val="Abstract"/>
    <w:qFormat/>
    <w:pPr>
      <w:spacing w:after="120" w:before="80"/>
      <w:jc w:val="center"/>
    </w:pPr>
    <w:rPr>
      <w:b/>
      <w:bCs/>
      <w:sz w:val="22"/>
      <w:szCs w:val="22"/>
    </w:rPr>
  </w:style>
  <w:style w:styleId="BodyTextNext" w:type="paragraph">
    <w:name w:val="Body Text Next"/>
    <w:basedOn w:val="Normal"/>
    <w:qFormat/>
    <w:pPr>
      <w:ind w:end="45" w:firstLine="284" w:start="0"/>
    </w:pPr>
    <w:rPr>
      <w:sz w:val="18"/>
      <w:szCs w:val="18"/>
    </w:rPr>
  </w:style>
  <w:style w:styleId="Header" w:type="paragraph">
    <w:name w:val="Header"/>
    <w:basedOn w:val="Normal"/>
    <w:pPr>
      <w:tabs>
        <w:tab w:pos="720" w:val="clear"/>
        <w:tab w:leader="none" w:pos="4153" w:val="center"/>
        <w:tab w:leader="none" w:pos="8306" w:val="right"/>
      </w:tabs>
    </w:pPr>
    <w:rPr/>
  </w:style>
  <w:style w:styleId="Tablecaption" w:type="paragraph">
    <w:name w:val="Table caption"/>
    <w:basedOn w:val="ResimYazs"/>
    <w:qFormat/>
    <w:pPr>
      <w:spacing w:after="180" w:before="220"/>
      <w:jc w:val="center"/>
    </w:pPr>
    <w:rPr>
      <w:i w:val="false"/>
      <w:iCs w:val="false"/>
    </w:rPr>
  </w:style>
  <w:style w:styleId="BalonMetni" w:type="paragraph">
    <w:name w:val="Balon Metni"/>
    <w:basedOn w:val="Normal"/>
    <w:qFormat/>
    <w:pPr/>
    <w:rPr>
      <w:rFonts w:ascii="Tahoma" w:cs="Tahoma" w:hAnsi="Tahoma"/>
      <w:sz w:val="16"/>
      <w:szCs w:val="16"/>
    </w:rPr>
  </w:style>
  <w:style w:styleId="Figurecaption" w:type="paragraph">
    <w:name w:val="Figure caption"/>
    <w:basedOn w:val="Tablecaption"/>
    <w:qFormat/>
    <w:pPr/>
    <w:rPr>
      <w:i/>
      <w:iCs/>
    </w:rPr>
  </w:style>
  <w:style w:styleId="TableContents" w:type="paragraph">
    <w:name w:val="Table Contents"/>
    <w:basedOn w:val="Normal"/>
    <w:qFormat/>
    <w:pPr>
      <w:widowControl w:val="false"/>
      <w:suppressLineNumbers/>
    </w:pPr>
    <w:rPr/>
  </w:style>
  <w:style w:styleId="TableHeading" w:type="paragraph">
    <w:name w:val="Table Heading"/>
    <w:basedOn w:val="TableContents"/>
    <w:qFormat/>
    <w:pPr>
      <w:suppressLineNumbers/>
      <w:jc w:val="center"/>
    </w:pPr>
    <w:rPr>
      <w:b/>
      <w:bCs/>
    </w:rPr>
  </w:style>
  <w:style w:styleId="WW8Num1" w:type="numbering">
    <w:name w:val="WW8Num1"/>
    <w:qFormat/>
  </w:style>
  <w:style w:styleId="WW8Num2" w:type="numbering">
    <w:name w:val="WW8Num2"/>
    <w:qFormat/>
  </w:style>
  <w:style w:styleId="WW8Num3" w:type="numbering">
    <w:name w:val="WW8Num3"/>
    <w:qFormat/>
  </w:style>
  <w:style w:styleId="WW8Num4" w:type="numbering">
    <w:name w:val="WW8Num4"/>
    <w:qFormat/>
  </w:style>
  <w:style w:styleId="WW8Num5" w:type="numbering">
    <w:name w:val="WW8Num5"/>
    <w:qFormat/>
  </w:style>
  <w:style w:styleId="WW8Num6" w:type="numbering">
    <w:name w:val="WW8Num6"/>
    <w:qFormat/>
  </w:style>
  <w:style w:styleId="WW8Num7" w:type="numbering">
    <w:name w:val="WW8Num7"/>
    <w:qFormat/>
  </w:style>
  <w:style w:styleId="WW8StyleNum" w:type="numbering">
    <w:name w:val="WW8StyleNum"/>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tmpl_97_turkce</Template>
  <TotalTime>294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2026-08-14T13:55:51Z</dcterms:created>
  <dcterms:modified xsi:type="dcterms:W3CDTF">2026-08-14T13:55:51Z</dcterms:modified>
</cp:coreProperties>
</file>

<file path=docProps/custom.xml><?xml version="1.0" encoding="utf-8"?>
<Properties xmlns="http://schemas.openxmlformats.org/officeDocument/2006/custom-properties" xmlns:vt="http://schemas.openxmlformats.org/officeDocument/2006/docPropsVTypes"/>
</file>