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(54% when the coating effect fades within two hours, 33% with no coating effect),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above the extinction moisture of every fuel, and decays by 0.003 per min, so a coated cell resists ignition for about two hours; the weakened setting of Section V-C fades within 100 min. Quality is 0.60, the cost ceiling 0.35, the required gain over inaction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37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Without G5 to G8, the single random and LLM candidates still reduce area by 10 ± 9% and 25 ± 9%, within four points of the gated values and not significantly different from them (paired sign-flip p = 0.47 and 0.76), although the worlds worse than Closed rise from 40 to 49 and from 16 to 28 and the rule bases grow by about four rules. With one candidate per call the forecast gates have little to select from; G1 to G4 and the no-harm guard carry the protection, and the contribution of G5 to G8 lies in the search, where the same forecasts rank the 36 candidates.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make the forecast, not the proposer, the criterion of selection,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