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and by 24% against an evolutionary search with the same 36-forecast budget over the same grammar,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whereas a hand-written doctrine over the same effects gains little; with independent gate futures the advantage is 54%. The admitted interventions recur across incidents and, recorded as rules, keep most of the gain on held-out ones. Regional agents partition the decision core, which decides in under one second between model calls.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[33]</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[34]</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[35]</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[36]</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[37, 38]</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[39]</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[40]</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[41]</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[42]</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[43]</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[44]</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[45]</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[46]</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[47]</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[48]</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[49]</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[50]</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[51]</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[52]</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[53]</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and spread rates are expressed in cell lengths per substep, so Ψk and Θign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[54] and the operational priority method [55],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δadm a small positive margin that excludes ties,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standard fuel models, settlements with population, roads and water sources; winds of 8 to 12 m/s and dead fuel moisture of 6 to 8% give dry, windy conditions.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one turn per request and tools disabled.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[56]</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JTH 0.35, the required gain over inaction δgain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35 aggregate comparisons, namely the main comparison and every other row of Tables VII and VIII, using one million random sign assignments. The adjusted p applies to the main comparison; the other rows are reported with unadjusted intervals.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Each free-spread run is compared at equal burned area,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[52],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composed interventions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remain recommendations under operator authority, and their acceptance by fire officers is untested.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The secondary comparisons are reported with unadjusted intervals and the language model is a hosted one, so the attribution among search, grammar and proposer is indicative rather than exact.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[33]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[34]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[35]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[36]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[37]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[38]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[39]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[40]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[41]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[42]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[43]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[44]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[45]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[46]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[47]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[48]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[49]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[50]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[51]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[52]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[53]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[54]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[55]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[56]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39</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40</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41</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43</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44</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45</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50</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51</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53</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54</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55</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49</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42</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46</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47</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48</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52</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33</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35</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36</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37</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38</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56</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34</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