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[53], mean Rothermel spread rate divided by 30 m/min [6] and fire-weather inputs [54]; weather severity clips 0.45 min(wind/20, 1) + 0.35(1 − humidity/100) + 0.20 clip((temperature − 15)/25). Ignition proximity is one inside a burning region, zero without fire, and otherwise clipped 1 − distance/(half-map diagonal); fuel load averages remaining fuel [50]. Asset exposure is maximum priority, weighting buildings, critical facilities, min–max population and inverted min–max route distance by 0.20, 0.40, 0.25 and 0.15 [4], and accessibility is mean terrain access [55]. Road coverage is divided by 0.05, and staged capacity times availability by 0.05 times maximum capacity times regional cell count [51],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S3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