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response cost by 46% against the closed layer, and raises the share of extinguished incidents from 52% to 91%.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hazard model is assessed separately by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in simulation as one system rather than as isolated algorithms; distributed operation of the agents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