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a hand-written doctrine over the same effects, without search, gains little. With independent gate futures the advantage is 54%. The admitted interventions recur across incidents and, recorded as rules, keep most of the gain on held-out ones. Regional agents partition the decision core, which decides in under one second between model calls in a harness without the model.</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emergency management,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w:t>
      </w:r>
      <w:r>
        <w:t xml:space="preserve">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w:t>
      </w:r>
      <w:r>
        <w:t xml:space="preserve">,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w:t>
      </w:r>
      <w:r>
        <w:t xml:space="preserve">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given with the spread, combustion and suppression maps in the Supplementary Material, after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fuel type. Each front substep spans at most one cell, and spread rates are expressed in cell lengths per substep, so Ψ</w:t>
      </w:r>
      <w:r>
        <w:rPr>
          <w:vertAlign w:val="subscript"/>
        </w:rPr>
        <w:t xml:space="preserve">k</w:t>
      </w:r>
      <w:r>
        <w:t xml:space="preserve"> and Θ</w:t>
      </w:r>
      <w:r>
        <w:rPr>
          <w:vertAlign w:val="subscript"/>
        </w:rPr>
        <w:t xml:space="preserve">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The open layer operates on the shared rule base once per cycle, using the situation of the burning region with the weakest rule coverage. Terms used below: a family is one of the six intervention channels of the closed layer; an effect is one of the seven physical operators; a macro blends up to three families; a composed intervention joins up to three effect clauses; a package is a proposal that carries a new macro or composed intervention with its rule; an object is any admitted rule, macro or composed intervention; doctrine is the rule base in force; prime and draft are the warning and water-drafting effects.</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 xml:space="preserve">adm</w:t>
      </w:r>
      <w:r>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the Closed and GODA outcomes stay well inside it except in S2, where Closed burns 184 ha.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between 20 and 30 October 2026, one turn per request and tools disabled. Code, configurations, world seeds and admission logs are available from the authors on request.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none on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w:t>
      </w:r>
      <w:r>
        <w:rPr>
          <w:vertAlign w:val="subscript"/>
        </w:rPr>
        <w:t xml:space="preserve">TH</w:t>
      </w:r>
      <w:r>
        <w:t xml:space="preserve"> 0.35, the required gain over inaction δ</w:t>
      </w:r>
      <w:r>
        <w:rPr>
          <w:vertAlign w:val="subscript"/>
        </w:rPr>
        <w:t xml:space="preserve">gain</w:t>
      </w:r>
      <w:r>
        <w:t xml:space="preserve">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36 aggregate comparisons, namely the main comparison and every other row of Tables VII and VIII, using one million random sign assignments. The other comparisons are reported with unadjusted 95% intervals and, where stated, unadjusted paired sign-flip p values.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F1</w:t>
            </w:r>
          </w:p>
        </w:tc>
        <w:tc>
          <w:tcPr>
            <w:tcW w:w="675" w:type="pct"/>
          </w:tcPr>
          <w:p w14:paraId="59C663EA" w14:textId="77777777" w:rsidR="003E3FD9" w:rsidRPr="00E107C1" w:rsidRDefault="00D31F60">
            <w:pPr>
              <w:keepNext/>
              <w:jc w:val="center"/>
              <w:rPr>
                <w:sz w:val="16"/>
                <w:szCs w:val="16"/>
              </w:rPr>
            </w:pPr>
            <w:r w:rsidRPr="00E107C1">
              <w:rPr>
                <w:b/>
                <w:sz w:val="16"/>
                <w:szCs w:val="16"/>
              </w:rPr>
              <w:t>F2</w:t>
            </w:r>
          </w:p>
        </w:tc>
        <w:tc>
          <w:tcPr>
            <w:tcW w:w="675" w:type="pct"/>
          </w:tcPr>
          <w:p w14:paraId="2AF3FD0C" w14:textId="77777777" w:rsidR="003E3FD9" w:rsidRPr="00E107C1" w:rsidRDefault="00D31F60">
            <w:pPr>
              <w:keepNext/>
              <w:jc w:val="center"/>
              <w:rPr>
                <w:sz w:val="16"/>
                <w:szCs w:val="16"/>
              </w:rPr>
            </w:pPr>
            <w:r w:rsidRPr="00E107C1">
              <w:rPr>
                <w:b/>
                <w:sz w:val="16"/>
                <w:szCs w:val="16"/>
              </w:rPr>
              <w:t>F3</w:t>
            </w:r>
          </w:p>
        </w:tc>
        <w:tc>
          <w:tcPr>
            <w:tcW w:w="678" w:type="pct"/>
          </w:tcPr>
          <w:p w14:paraId="6D3F848E" w14:textId="77777777" w:rsidR="003E3FD9" w:rsidRPr="00E107C1" w:rsidRDefault="00D31F60">
            <w:pPr>
              <w:keepNext/>
              <w:jc w:val="center"/>
              <w:rPr>
                <w:sz w:val="16"/>
                <w:szCs w:val="16"/>
              </w:rPr>
            </w:pPr>
            <w:r w:rsidRPr="00E107C1">
              <w:rPr>
                <w:b/>
                <w:sz w:val="16"/>
                <w:szCs w:val="16"/>
              </w:rPr>
              <w:t>F4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[23].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w:t>
      </w:r>
    </w:p>
    <w:p w14:paraId="49700279" w14:textId="08E615D3"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the model candidates do.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so the ordering of the gated searches is indicative while their margin over Closed is not in doubt.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56E56CD6" w14:textId="77777777" w:rsidTr="00074B69">
        <w:tc>
          <w:tcPr>
            <w:tcW w:w="2127" w:type="dxa"/>
          </w:tcPr>
          <w:p w14:paraId="24282C28" w14:textId="77777777" w:rsidR="00CB2143" w:rsidRDefault="00CB2143" w:rsidP="00074B69">
            <w:pPr>
              <w:keepNext/>
              <w:spacing w:line="220" w:lineRule="auto"/>
            </w:pPr>
            <w:r>
              <w:rPr>
                <w:sz w:val="18"/>
              </w:rPr>
              <w:t>Hand-written seeds, with variations</w:t>
            </w:r>
          </w:p>
        </w:tc>
        <w:tc>
          <w:tcPr>
            <w:tcW w:w="1417" w:type="dxa"/>
          </w:tcPr>
          <w:p w14:paraId="3335D0DD" w14:textId="77777777" w:rsidR="00CB2143" w:rsidRDefault="00CB2143" w:rsidP="00074B69">
            <w:pPr>
              <w:keepNext/>
              <w:spacing w:line="220" w:lineRule="auto"/>
              <w:jc w:val="center"/>
            </w:pPr>
            <w:r>
              <w:rPr>
                <w:sz w:val="18"/>
              </w:rPr>
              <w:t>−31 ± 12</w:t>
            </w:r>
          </w:p>
        </w:tc>
        <w:tc>
          <w:tcPr>
            <w:tcW w:w="1559" w:type="dxa"/>
          </w:tcPr>
          <w:p w14:paraId="555A4CAD" w14:textId="77777777" w:rsidR="00CB2143" w:rsidRDefault="00CB2143" w:rsidP="00074B69">
            <w:pPr>
              <w:keepNext/>
              <w:spacing w:line="220" w:lineRule="auto"/>
              <w:jc w:val="center"/>
            </w:pPr>
            <w:r>
              <w:rPr>
                <w:sz w:val="18"/>
              </w:rPr>
              <w:t>−24 ± 8</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footprint shape of the hazard model is assessed against recorded fires in Section V-B, which does not reach the effect operators.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AC70D56" w14:textId="77777777">
                <w:trPr>
                  <w:divId w:val="299961452"/>
                  <w:tblCellSpacing w:w="15" w:type="dxa"/>
                </w:trPr>
                <w:tc>
                  <w:tcPr>
                    <w:tcW w:w="50" w:type="pct"/>
                    <w:hideMark/>
                  </w:tcPr>
                  <w:p w14:paraId="345F8D67" w14:textId="77777777" w:rsidR="005401C1" w:rsidRDefault="005401C1">
                    <w:pPr>
                      <w:pStyle w:val="Bibliography"/>
                      <w:rPr>
                        <w:noProof/>
                      </w:rPr>
                    </w:pPr>
                    <w:r>
                      <w:rPr>
                        <w:noProof/>
                      </w:rPr>
                      <w:t xml:space="preserve">[2] </w:t>
                    </w:r>
                  </w:p>
                </w:tc>
                <w:tc>
                  <w:tcPr>
                    <w:tcW w:w="0" w:type="auto"/>
                    <w:hideMark/>
                  </w:tcPr>
                  <w:p w14:paraId="4151790D"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[3]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[4]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[5]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[6]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[7]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[8]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[9]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[10]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[11]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[12]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[13]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[14]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[15]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[16]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[17]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[18]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[19]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[20]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[21]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[22]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[23]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[24]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[25]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[26]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[27]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[28]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[29]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[30]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[31]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A87FB08" w14:textId="77777777">
                <w:trPr>
                  <w:divId w:val="299961452"/>
                  <w:tblCellSpacing w:w="15" w:type="dxa"/>
                </w:trPr>
                <w:tc>
                  <w:tcPr>
                    <w:tcW w:w="50" w:type="pct"/>
                    <w:hideMark/>
                  </w:tcPr>
                  <w:p w14:paraId="1F54E6E8" w14:textId="77777777" w:rsidR="005401C1" w:rsidRDefault="005401C1">
                    <w:pPr>
                      <w:pStyle w:val="Bibliography"/>
                      <w:rPr>
                        <w:noProof/>
                      </w:rPr>
                    </w:pPr>
                    <w:r>
                      <w:rPr>
                        <w:noProof/>
                      </w:rPr>
                      <w:t xml:space="preserve">[32] </w:t>
                    </w:r>
                  </w:p>
                </w:tc>
                <w:tc>
                  <w:tcPr>
                    <w:tcW w:w="0" w:type="auto"/>
                    <w:hideMark/>
                  </w:tcPr>
                  <w:p w14:paraId="5D9557D7"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[33]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[34]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[35]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[37]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[38]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[39]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[40]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[41]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[42]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[43]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[44]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[45]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[46]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[47]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[48]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[49]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[50]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[51]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[52]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[53]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2DAB38B" w14:textId="77777777">
                <w:trPr>
                  <w:divId w:val="299961452"/>
                  <w:tblCellSpacing w:w="15" w:type="dxa"/>
                </w:trPr>
                <w:tc>
                  <w:tcPr>
                    <w:tcW w:w="50" w:type="pct"/>
                    <w:hideMark/>
                  </w:tcPr>
                  <w:p w14:paraId="14EA11DC" w14:textId="77777777" w:rsidR="005401C1" w:rsidRDefault="005401C1">
                    <w:pPr>
                      <w:pStyle w:val="Bibliography"/>
                      <w:rPr>
                        <w:noProof/>
                      </w:rPr>
                    </w:pPr>
                    <w:r>
                      <w:rPr>
                        <w:noProof/>
                      </w:rPr>
                      <w:t xml:space="preserve">[54] </w:t>
                    </w:r>
                  </w:p>
                </w:tc>
                <w:tc>
                  <w:tcPr>
                    <w:tcW w:w="0" w:type="auto"/>
                    <w:hideMark/>
                  </w:tcPr>
                  <w:p w14:paraId="6F18804E"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[60]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