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Without variations and at the same budget of six forecasts, the candidate-only LLM configuration exceeds the small random control by 14 ± 11 percentage points, so the proposer is measured without the local search; the variations add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