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A Decision Support Architecture With a Verified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ins w:id="920044" w:author="Claude" w:date="2026-10-29T18:30:00Z">
              <w:r>
                <w:rPr>
                  <w:sz w:val="18"/>
                </w:rPr>
                <w:t xml:space="preserve">; definition: </w:t>
              </w:r>
            </w:ins>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ins w:id="920045" w:author="Claude" w:date="2026-10-29T18:30:00Z">
              <w:r>
                <w:rPr>
                  <w:sz w:val="18"/>
                </w:rPr>
                <w:t xml:space="preserve">; definition: </w:t>
              </w:r>
            </w:ins>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ins w:id="920046" w:author="Claude" w:date="2026-10-29T18:30:00Z">
              <w:r>
                <w:rPr>
                  <w:sz w:val="18"/>
                </w:rPr>
                <w:t xml:space="preserve">; definition: </w:t>
              </w:r>
            </w:ins>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ins w:id="920047" w:author="Claude" w:date="2026-10-29T18:30:00Z">
              <w:r>
                <w:rPr>
                  <w:sz w:val="18"/>
                </w:rPr>
                <w:t xml:space="preserve">; definition: </w:t>
              </w:r>
            </w:ins>
            <w:r>
              <w:rPr>
                <w:sz w:val="18"/>
              </w:rPr>
              <w:br/>
              <w:t>Macro weights containment line 1.0, suppression effort 0.8</w:t>
            </w:r>
          </w:p>
        </w:tc>
      </w:tr>
    </w:tbl>
    <w:p w14:paraId="65975884" w14:textId="77777777" w:rsidR="00702C83" w:rsidRDefault="00702C83"/>
    <w:p>
      <w:pPr>
        <w:pStyle w:val="Heading1"/>
        <w:rPr>
          <w:ins w:id="960001" w:author="Claude" w:date="2026-10-29T22:00:00Z"/>
        </w:rPr>
      </w:pPr>
      <w:ins w:id="960002" w:author="Claude" w:date="2026-10-29T22:00:00Z">
        <w:r>
          <w:t xml:space="preserve">Feature extraction</w:t>
        </w:r>
      </w:ins>
    </w:p>
    <w:p>
      <w:pPr>
        <w:rPr>
          <w:ins w:id="960003" w:author="Claude" w:date="2026-10-29T22:00:00Z"/>
        </w:rPr>
      </w:pPr>
      <w:ins w:id="960004" w:author="Claude" w:date="2026-10-29T22:00:00Z">
        <w:r>
          <w:t xml:space="preserve">Reference numbers in this and the following sections refer to the article.</w:t>
        </w:r>
      </w:ins>
    </w:p>
    <w:p>
      <w:pPr>
        <w:rPr>
          <w:ins w:id="960005" w:author="Claude" w:date="2026-10-29T22:00:00Z"/>
        </w:rPr>
      </w:pPr>
      <w:ins w:id="960006" w:author="Claude" w:date="2026-10-29T22:00:00Z">
        <w:r>
          <w:t xml:space="preserve">Regional extraction uses maximum observed intensity, zero without regional fire [47], mean Rothermel spread rate divided by 30 m/min [6] and fire-weather inputs [48]; weather severity clips 0.45 min(wind/20, 1) + 0.35(1 − humidity/100) + 0.20 clip((temperature − 15)/25). Ignition proximity is one inside a burning region, zero without fire, and otherwise clipped 1 − distance/(half-map diagonal); fuel load averages remaining fuel [44]. Asset exposure is maximum priority, weighting buildings, critical facilities, min–max population and inverted min–max route distance by 0.20, 0.40, 0.25 and 0.15 [4], and accessibility is mean terrain access [49]. Road coverage is divided by 0.05, and staged capacity times availability by 0.05 times maximum capacity times regional cell count [45],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ins>
    </w:p>
    <w:p>
      <w:pPr>
        <w:pStyle w:val="Heading1"/>
        <w:rPr>
          <w:ins w:id="960007" w:author="Claude" w:date="2026-10-29T22:00:00Z"/>
        </w:rPr>
      </w:pPr>
      <w:ins w:id="960008" w:author="Claude" w:date="2026-10-29T22:00:00Z">
        <w:r>
          <w:t xml:space="preserve">Concept weights</w:t>
        </w:r>
      </w:ins>
    </w:p>
    <w:p>
      <w:pPr>
        <w:rPr>
          <w:ins w:id="960009" w:author="Claude" w:date="2026-10-29T22:00:00Z"/>
        </w:rPr>
      </w:pPr>
      <w:ins w:id="960010" w:author="Claude" w:date="2026-10-29T22:00:00Z">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ins>
    </w:p>
    <w:p>
      <w:pPr>
        <w:pStyle w:val="Heading1"/>
        <w:rPr>
          <w:ins w:id="960011" w:author="Claude" w:date="2026-10-29T22:00:00Z"/>
        </w:rPr>
      </w:pPr>
      <w:ins w:id="960012" w:author="Claude" w:date="2026-10-29T22:00:00Z">
        <w:r>
          <w:t xml:space="preserve">Membership terms, adaptation constants and execution thresholds</w:t>
        </w:r>
      </w:ins>
    </w:p>
    <w:p>
      <w:pPr>
        <w:rPr>
          <w:ins w:id="960013" w:author="Claude" w:date="2026-10-29T22:00:00Z"/>
        </w:rPr>
      </w:pPr>
      <w:ins w:id="960014" w:author="Claude" w:date="2026-10-29T22:00:00Z">
        <w:r>
          <w:t xml:space="preserve">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ins>
    </w:p>
    <w:p>
      <w:pPr>
        <w:pStyle w:val="Heading1"/>
        <w:rPr>
          <w:ins w:id="960015" w:author="Claude" w:date="2026-10-29T22:00:00Z"/>
        </w:rPr>
      </w:pPr>
      <w:ins w:id="960016" w:author="Claude" w:date="2026-10-29T22:00:00Z">
        <w:r>
          <w:t xml:space="preserve">Search budget and timing harness</w:t>
        </w:r>
      </w:ins>
    </w:p>
    <w:p>
      <w:pPr>
        <w:rPr>
          <w:ins w:id="960017" w:author="Claude" w:date="2026-10-29T22:00:00Z"/>
        </w:rPr>
      </w:pPr>
      <w:ins w:id="960018" w:author="Claude" w:date="2026-10-29T22:00:00Z">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three proposal revisions.</w:t>
        </w:r>
      </w:ins>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