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pPr>
        <w:pBdr>
          <w:top w:val="nil"/>
          <w:left w:val="nil"/>
          <w:bottom w:val="nil"/>
          <w:right w:val="nil"/>
          <w:between w:val="nil"/>
        </w:pBdr>
        <w:jc w:val="center"/>
        <w:rPr>
          <w:color w:val="000000"/>
          <w:sz w:val="22"/>
          <w:szCs w:val="22"/>
        </w:rPr>
      </w:pPr>
      <w:r>
        <w:rPr>
          <w:color w:val="000000"/>
          <w:sz w:val="22"/>
          <w:szCs w:val="22"/>
        </w:rPr>
        <w:t xml:space="preserve">Çağlar Akman and Kemal Leblebicioğlu</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pPr>
        <w:rPr/>
      </w:pPr>
      <w: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 support architecture built on two separated cores: a simulation core that owns the hazard state and a decision core that reads it only through confidence-rated observations. Local agents turn ten observation features into five decision concepts, a sparse Takagi-Sugeno rule base maps the concepts to six intervention families, and a coordination layer ranks regions and shares capacity while the commander supervises through bounded, reversible inputs. The central contribution is an open decision space. When the standing decision falls short, a staged loop tunes the rules, writes rules for uncovered situations, and lets a pretrained language model propose new rules, intermediate concepts, and interventions composed from verified physical effects. Every proposal must clear deterministic gates and a paired forecast test on two reseeded futures before it acts, so the doctrine grows only as the incident demands, life-safety orders are never attenuated, and every order stays traceable to its concepts, rules, and confidences. The simulation core reproduces four historical fires with 86 to 94 percent agreement. On that ground, over 50 paired worlds per scenario family, DisasterAware extinguishes 52 percent of the incidents within the episode where the static doctrine extinguishes 10 percent, leaves 28 percent fewer people affected, cuts the burned area by 70 percent against no action, and carries sixteen times more agents at under 1.3 times the cost per decision.</w:t>
      </w:r>
    </w:p>
    <w:p>
      <w:pPr>
        <w:rPr/>
      </w:pPr>
      <w:r>
        <w:t xml:space="preserve">Index Terms—System-of-systems architecture, distributed decision support, open decision space, generative rule proposal, verification and fail-safe design, human-supervised emergency response, wildfire management.</w:t>
      </w:r>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pPr>
        <w:pStyle w:val="Text"/>
        <w:rPr/>
      </w:pPr>
      <w:r>
        <w:t xml:space="preserve">DisasterAware answers these gaps with an architecture whose central contribution is the open decision space: the set of orders the system may issue is not fixed in advance but grows during the incident, under verification by the hazard model. This article asks what that architecture is worth to the commander, and it answers with paired measurements: the same fires are replayed without decision support, with a static doctrine, with a doctrine that tunes itself, and with DisasterAware, so that the benefit of each capability is read from the difference it makes on identical worlds. Three contributions match the gaps of Table I one to one.</w:t>
      </w:r>
    </w:p>
    <w:p>
      <w:pPr>
        <w:pStyle w:val="Text"/>
        <w:rPr/>
      </w:pPr>
      <w:r>
        <w:rPr>
          <w:b/>
        </w:rPr>
        <w:t xml:space="preserve">Open decision space through staged, verified adaptation.</w:t>
      </w:r>
      <w:r>
        <w:t xml:space="preserve"> To address G1, the fixed menu of alternatives becomes an open field of orders: ten observation features aggregate into five decision concepts, so rules are written in operational language. The field is reshaped online on three levels: an evolving Takagi-Sugeno base adapts memberships and consequents [26, 27], term resolution grows where situations are ambiguous, and a generative stage driven by a pretrained language model may add rules, intermediate concepts, bundles of existing interventions, and new interventions composed from verified physical effects; nothing enters the base without a gate chain ending in a reseeded forecast comparison [28]. Local agents do all reasoning, while a non-inferential global layer ranks priorities, assigns resources, and adjusts acceptance gates.</w:t>
      </w:r>
    </w:p>
    <w:p>
      <w:pPr>
        <w:pStyle w:val="Text"/>
        <w:rPr/>
      </w:pPr>
      <w:r>
        <w:rPr>
          <w:b/>
        </w:rPr>
        <w:t xml:space="preserve">Sensitivity analysis with traceability and confidence-gated uncertainty.</w:t>
      </w:r>
      <w:r>
        <w:t xml:space="preserve"> To address G2, explanation and uncertainty handling are structural. Epistemic uncertainty is propagated without prior distributions by blending each concept activation with a persistence-based estimate in proportion to observation confidence. Every decision traces to its concepts, rules, and confidences, every admitted edit to the deficit that triggered it and the gate that judged it, and a sensitivity analysis quantifies how the loop parameters affect the outputs, in contrast to post-hoc attribution [4].</w:t>
      </w:r>
    </w:p>
    <w:p>
      <w:pPr>
        <w:pStyle w:val="Text"/>
        <w:rPr/>
      </w:pPr>
      <w:r>
        <w:rPr>
          <w:b/>
        </w:rPr>
        <w:t xml:space="preserve">End-to-end measurement over separated cores.</w:t>
      </w:r>
      <w:r>
        <w:t xml:space="preserve"> To address G3, the two cores are strictly separated, validated independently, and exercised end to end with an operator dashboard, every intervention screened before fielding. The decision layer is then measured on five scenario families against three references that share the world, the ignitions, and the random stream: no decision support, the static seed doctrine, and the self-tuning doctrine. Differences arise from the issued orders alone [13, 14].</w:t>
      </w:r>
    </w:p>
    <w:p>
      <w:pPr>
        <w:pStyle w:val="Text"/>
        <w:rPr/>
      </w:pPr>
      <w:r>
        <w:t xml:space="preserve">This work is a systems contribution rather than a new inference algorithm. It defines the open decision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what the resulting architecture buys on an independently validated hazard model. The concept-driven inference and the generative proposer are components inside the architecture; either can be replaced without affecting the invariants.</w:t>
      </w:r>
    </w:p>
    <w:p>
      <w:pPr>
        <w:pStyle w:val="Heading1"/>
        <w:rPr/>
      </w:pPr>
      <w:r>
        <w:t xml:space="preserve">II. Related Work and Background</w:t>
      </w:r>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pPr>
        <w:pStyle w:val="Heading2"/>
        <w:rPr/>
      </w:pPr>
      <w:r>
        <w:t xml:space="preserve">B. Closed and Open Decision Spaces</w:t>
      </w:r>
    </w:p>
    <w:p>
      <w:pPr>
        <w:pStyle w:val="Text"/>
        <w:rPr/>
      </w:pPr>
      <w:r>
        <w:t xml:space="preserve">Decision analysis has long assumed that the set of alternatives is given before evaluation begins. Arbel and Tong [35] identified options generation as a neglected phase that precedes choice, Colorni and Tsoukias [36, 37] formalized the construction of the alternative set as a recursion of decision problems and distinguished known, partially known, and unknown decision spaces, and Hofstede [38] observed that planning systems which hard-wire the open aspects of a problem are not adopted. Cognitive evidence points the same way: option generation in ill-structured problems depends on ideation beyond memory retrieval, individuals cover only part of the available option space, and generating more options raises the quality of the best option while lowering the mean quality of the set [39]. Fire produces conditions no predefined alternative covers, and commanders build courses of action from recognized patterns [31]; a closed space can only rank what it was given [15]. These works motivate a decision support system that generates alternatives during operation, and they set the condition under which generation is safe: broad generation must be paired with strict, external evaluation.</w:t>
      </w:r>
    </w:p>
    <w:p>
      <w:pPr>
        <w:pStyle w:val="Heading2"/>
        <w:rPr/>
      </w:pPr>
      <w:r>
        <w:t xml:space="preserve">C. Mechanisms That Open a Decision Space</w:t>
      </w:r>
    </w:p>
    <w:p>
      <w:pPr>
        <w:pStyle w:val="Text"/>
        <w:rPr/>
      </w:pPr>
      <w:r>
        <w:t xml:space="preserve">Three families of mechanisms open a decision space. The first searches a fixed parameter space for structurally different solutions, as in the active DSS of Fazlollahi and Vahidov [40], whose genetic generator was kept separate from a Monte Carlo evaluator, and in modeling to generate alternatives [41]. The second composes alternatives from modules, in Levin's synthesis of composite alternatives under compatibility constraints [42] and in Struss's model composition over a library of processes with a separate, prediction-based evaluation [43]. The third extends the action model itself at run time, as in open-world planning and action discovery [44, 45]. In all three the space that is opened stays bounded by a basis the system already understands, so the open space is an open composition over a closed and verified basis, which is the sense used here. Two design consequences follow: generation must be cheap to reject, because most of the composition space leaves the outcome unchanged, and the evaluator must be independent of the generator. Evolving Takagi-Sugeno models create rules online within the existing vocabulary [27], value-based selectors learn when to change structure [32], and generative models draft rules outside the current structure [33]; DisasterAware combines the three behind a satisficing acceptance gate [28].</w:t>
      </w:r>
    </w:p>
    <w:p>
      <w:pPr>
        <w:pStyle w:val="Heading2"/>
        <w:rPr/>
      </w:pPr>
      <w:r>
        <w:t xml:space="preserve">D. Wildfire and Disaster Decision Support With Learned and Generative Components</w:t>
      </w:r>
    </w:p>
    <w:p>
      <w:pPr>
        <w:pStyle w:val="Text"/>
        <w:rPr/>
      </w:pPr>
      <w:r>
        <w:t xml:space="preserve">Recent wildfire and disaster systems have added learned and generative components, but the intervention space has stayed closed or unchecked. Dubey and Dubey [12] couple a Transformer forecaster with fifteen expert rules that map predicted risk to four fixed response levels and name the handcrafted rule base as a limitation under unusual conditions; Chandra et al. [46] draw suggested actions from a predefined ontology of 110 rules and check them only for consistency; Cheng et al. [47] let language models weight a fixed hierarchy of indicators and verify the weights only against one expert table; Gerolimos et al. [48] call for open-world learning in disaster management, but the openness concerns the recognition of unseen event classes while the response stays a mapping to familiar actions. At the other extreme, multi-agent language models produce free-text response plans whose hallucinations are contained by retrieval grounding, output schemas, or post-hoc grading, and whose quality is assessed qualitatively or after generation [49, 50]; Cui et al. [51] conclude that external verification through physics-based simulation is required, yet confine their own agent to a fixed tool library. WildfireKR [52] is the closest neighbour, a language-model agent that automates calibrated spread simulation, but it produces suppression-free envelopes and leaves intervention design to the analyst. The gap that remains is a system in which the intervention space is open at run time, every new intervention is built from effects a physical model can execute, and admission is decided by the physical model rather than by the proposer, by a schema, or by the decision maker alone. DisasterAware fills this gap, and Section V measures what it is worth against the doctrine alone.</w:t>
      </w:r>
    </w:p>
    <w:p>
      <w:pPr>
        <w:pStyle w:val="Heading2"/>
        <w:rPr/>
      </w:pPr>
      <w:r>
        <w:t xml:space="preserve">E. The Input Space: Heterogeneous Sensing to Observation Features</w:t>
      </w:r>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pPr>
        <w:pStyle w:val="Heading2"/>
        <w:rPr/>
      </w:pPr>
      <w:r>
        <w:t xml:space="preserve">F.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pPr>
        <w:pStyle w:val="Heading2"/>
        <w:rPr/>
      </w:pPr>
      <w:r>
        <w:t xml:space="preserve">G.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pPr>
        <w:pStyle w:val="Text"/>
        <w:rPr/>
      </w:pPr>
      <w:r>
        <w:t xml:space="preserve">Fig. 4 presents a Local DSS agent as a four-layer flow: the input space collects the measurements of Section II-E,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noChangeAspect="1"/>
                                  </wp:cNvGraphicFramePr>
                                  <a:graphic>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r>
        <w:t xml:space="preserve">F. Open Intervention Space: Staged Adaptation</w:t>
      </w:r>
      <w:r>
        <w:t xml:space="preserve"/>
      </w:r>
    </w:p>
    <w:p w14:paraId="349FF8F1" w14:textId="1D6B1C9E" w:rsidR="004A6C58" w:rsidRDefault="00121BAB">
      <w:pPr>
        <w:pStyle w:val="Text"/>
      </w:pPr>
      <w:r>
        <w:t xml:space="preserve"/>
      </w:r>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r>
        <w:t xml:space="preserve"/>
      </w:r>
      <w:r w:rsidRPr="00F24D90">
        <w:t xml:space="preserve"/>
      </w:r>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pPr>
        <w:pStyle w:val="Text"/>
        <w:rPr/>
      </w:pPr>
      <w:r>
        <w:t xml:space="preserve">Synthetic scenarios use 72 by 50 cell grids at 30 m with terrain, land cover, settlements, roads, and capacity-limited bases; historical scenarios reconstruct the documented fires. Unless stated otherwise the engine runs with the thresholds of Section IV, a two-minute physical step, a twelve-minute decision cycle, a 24-minute planning horizon, a satisficing bound of 0.35, and a quality gate of 0.60, with episodes run to extinction or a twelve-hour cap. Sensitivity is assessed one parameter at a time over five worlds, 880 runs in total. Fig. 10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pPr>
        <w:pStyle w:val="Text"/>
        <w:rPr/>
      </w:pPr>
      <w:r>
        <w:t xml:space="preserve">Four configurations face identical fires: T0 issues no orders and fixes the cost of inaction; F5 runs the decision layer on the minimal seed base of five rules and never changes it; F5+Ev adds the evolving-fuzzy stages 1 and 2, so the doctrine tunes its parameters and grows its resolution but never its vocabulary; and DisasterAware runs the complete staged adaptation, the open decision space in full. Every seed generates one world that all four configurations replay identically, so the differences come from the decision mechanism alone, and evaluation seeds are disjoint from development. Five scenario families span remote forest and the wildland-urban interface under sufficient and limited resources, the fifth repeating the full stress scenario under degraded observation, all at critical fire weather; each family is run on 50 worlds, and the outcome is read at the end of the episode on the burned area, the affected population, the share of incidents extinguished within the episode, and the two costs of ( 31 ). In this campaign the generative stage of DisasterAware was fed by a deterministic stand-in proposer that writes rules over the existing vocabulary and one macro package through the same gate chain, so the margin of the last rung measures the open decision mechanism with the least capable proposer; the objects the language-model proposer composes are read from the recorded runs of Section V-E. Table V reports the ladder and Fig. 11 the burned area per family with 95 percent confidence intervals.</w:t>
      </w: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noChangeAspect="1"/>
                                  </wp:cNvGraphicFramePr>
                                  <a:graphic>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r>
                              <w:rPr>
                                <w:b/>
                                <w:bCs/>
                              </w:rPr>
                              <w:t xml:space="preserve">. Burned area at the end of the episode per scenario family and configuration; bars are means over 50 paired worlds with 95 percent confidence intervals.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r>
                        <w:rPr>
                          <w:b/>
                          <w:bCs/>
                        </w:rPr>
                        <w:t xml:space="preserve">. Burned area at the end of the episode per scenario family and configuration; bars are means over 50 paired worlds with 95 percent confidence intervals.</w:t>
                      </w:r>
                    </w:p>
                  </w:txbxContent>
                </v:textbox>
                <w10:wrap type="topAndBottom" anchorx="margin" anchory="margin"/>
              </v:shape>
            </w:pict>
          </mc:Fallback>
        </mc:AlternateContent>
      </w:r>
    </w:p>
    <w:p>
      <w:pPr>
        <w:pStyle w:val="Text"/>
        <w:rPr/>
      </w:pPr>
      <w:r>
        <w:t xml:space="preserve">F5 lowers the mean burned area from 251 ha under free burn to 85 ha, a 66 percent reduction, and the mean physical cost from 0.596 to 0.160; this gain belongs to the rule-based core itself, and the adaptation stages are read on top of it. F5+Ev adds a small but consistent gain: the burned area moves to 83 ha, the affected population from 498 to 396, and the share of incidents extinguished within the episode from 10 to 46 percent; the saving in total cost comes from the delay term (0.353 to 0.251), since tuned consequents commit the same resources sooner rather than committing more of them. DisasterAware supplies the next step. It raises the share of incidents extinguished to 52 percent, 5.0 times the static doctrine, lowers the affected population to 358 (28 percent below F5), lowers the burned area to 76 ha (70 percent below free burn and 10 percent below F5), and reaches the lowest physical cost (0.140) and total cost (0.168) of the four configurations, at a response cost no higher than that of the static doctrine (0.503 against 0.530). The margin over F5+Ev is consistent: DisasterAware burns less in 5 of the five families, and the paired difference in burned area against F5+Ev is 7 ± 4 ha (mean with 95 percent half-width over 250 paired worlds, DisasterAware better in 153), against F5 9 ± 4 ha, and against free burn 175 ± 8 ha. Under degraded observation (S5) the burned area of DisasterAware moves from 52.3 to 54.3 ha, a change of 4 percent that stays inside the confidence interval of either cell, and the configuration remains the best of the four, so reduced observation degrades the response instead of breaking it.</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pPr>
        <w:pStyle w:val="TableTitle"/>
        <w:rPr/>
      </w:pPr>
      <w:r>
        <w:t xml:space="preserve">Outcome per scenario family and configuration at the end of the episode (mean over 50 paired worlds; ± is the 95 percent half-width)</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bl>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1400"/>
        <w:gridCol w:w="800"/>
        <w:gridCol w:w="900"/>
        <w:gridCol w:w="950"/>
        <w:gridCol w:w="950"/>
      </w:tblGrid>
      <w:tr>
        <w:trPr/>
        <w:tc>
          <w:tcPr>
            <w:tcW w:w="1400" w:type="dxa"/>
          </w:tcPr>
          <w:p>
            <w:pPr>
              <w:spacing w:before="0" w:after="0"/>
              <w:rPr>
                <w:sz w:val="14"/>
              </w:rPr>
            </w:pPr>
            <w:r>
              <w:rPr>
                <w:b/>
                <w:sz w:val="14"/>
                <w:szCs w:val="14"/>
              </w:rPr>
              <w:t xml:space="preserve">Scenario / measure</w:t>
            </w:r>
          </w:p>
        </w:tc>
        <w:tc>
          <w:tcPr>
            <w:tcW w:w="800" w:type="dxa"/>
          </w:tcPr>
          <w:p>
            <w:pPr>
              <w:spacing w:before="0" w:after="0"/>
              <w:rPr>
                <w:sz w:val="14"/>
              </w:rPr>
            </w:pPr>
            <w:r>
              <w:rPr>
                <w:b/>
                <w:sz w:val="14"/>
                <w:szCs w:val="14"/>
              </w:rPr>
              <w:t xml:space="preserve">T0</w:t>
            </w:r>
          </w:p>
        </w:tc>
        <w:tc>
          <w:tcPr>
            <w:tcW w:w="900" w:type="dxa"/>
          </w:tcPr>
          <w:p>
            <w:pPr>
              <w:spacing w:before="0" w:after="0"/>
              <w:rPr>
                <w:sz w:val="14"/>
              </w:rPr>
            </w:pPr>
            <w:r>
              <w:rPr>
                <w:b/>
                <w:sz w:val="14"/>
                <w:szCs w:val="14"/>
              </w:rPr>
              <w:t xml:space="preserve">F5</w:t>
            </w:r>
          </w:p>
        </w:tc>
        <w:tc>
          <w:tcPr>
            <w:tcW w:w="950" w:type="dxa"/>
          </w:tcPr>
          <w:p>
            <w:pPr>
              <w:spacing w:before="0" w:after="0"/>
              <w:rPr>
                <w:sz w:val="14"/>
              </w:rPr>
            </w:pPr>
            <w:r>
              <w:rPr>
                <w:b/>
                <w:sz w:val="14"/>
                <w:szCs w:val="14"/>
              </w:rPr>
              <w:t xml:space="preserve">F5+Ev</w:t>
            </w:r>
          </w:p>
        </w:tc>
        <w:tc>
          <w:tcPr>
            <w:tcW w:w="950" w:type="dxa"/>
          </w:tcPr>
          <w:p>
            <w:pPr>
              <w:spacing w:before="0" w:after="0"/>
              <w:rPr>
                <w:sz w:val="14"/>
              </w:rPr>
            </w:pPr>
            <w:r>
              <w:rPr>
                <w:b/>
                <w:sz w:val="14"/>
                <w:szCs w:val="14"/>
              </w:rPr>
              <w:t xml:space="preserve">DisasterAware</w:t>
            </w:r>
          </w:p>
        </w:tc>
      </w:tr>
      <w:tr>
        <w:trPr/>
        <w:tc>
          <w:tcPr>
            <w:tcW w:w="1400" w:type="dxa"/>
          </w:tcPr>
          <w:p>
            <w:pPr>
              <w:spacing w:before="0" w:after="0"/>
              <w:rPr>
                <w:sz w:val="14"/>
              </w:rPr>
            </w:pPr>
            <w:r>
              <w:rPr>
                <w:sz w:val="14"/>
                <w:szCs w:val="14"/>
              </w:rPr>
              <w:t xml:space="preserve">S1 burned (ha)</w:t>
            </w:r>
          </w:p>
        </w:tc>
        <w:tc>
          <w:tcPr>
            <w:tcW w:w="800" w:type="dxa"/>
          </w:tcPr>
          <w:p>
            <w:pPr>
              <w:spacing w:before="0" w:after="0"/>
              <w:rPr>
                <w:sz w:val="14"/>
              </w:rPr>
            </w:pPr>
            <w:r>
              <w:rPr>
                <w:sz w:val="14"/>
                <w:szCs w:val="14"/>
              </w:rPr>
              <w:t xml:space="preserve">262.3 ± 7.1</w:t>
            </w:r>
          </w:p>
        </w:tc>
        <w:tc>
          <w:tcPr>
            <w:tcW w:w="900" w:type="dxa"/>
          </w:tcPr>
          <w:p>
            <w:pPr>
              <w:spacing w:before="0" w:after="0"/>
              <w:rPr>
                <w:sz w:val="14"/>
              </w:rPr>
            </w:pPr>
            <w:r>
              <w:rPr>
                <w:sz w:val="14"/>
                <w:szCs w:val="14"/>
              </w:rPr>
              <w:t xml:space="preserve">93.5 ± 19.2</w:t>
            </w:r>
          </w:p>
        </w:tc>
        <w:tc>
          <w:tcPr>
            <w:tcW w:w="950" w:type="dxa"/>
          </w:tcPr>
          <w:p>
            <w:pPr>
              <w:spacing w:before="0" w:after="0"/>
              <w:rPr>
                <w:sz w:val="14"/>
              </w:rPr>
            </w:pPr>
            <w:r>
              <w:rPr>
                <w:sz w:val="14"/>
                <w:szCs w:val="14"/>
              </w:rPr>
              <w:t xml:space="preserve">88.6 ± 21.1</w:t>
            </w:r>
          </w:p>
        </w:tc>
        <w:tc>
          <w:tcPr>
            <w:tcW w:w="950" w:type="dxa"/>
          </w:tcPr>
          <w:p>
            <w:pPr>
              <w:spacing w:before="0" w:after="0"/>
              <w:rPr>
                <w:sz w:val="14"/>
              </w:rPr>
            </w:pPr>
            <w:r>
              <w:rPr>
                <w:sz w:val="14"/>
                <w:szCs w:val="14"/>
              </w:rPr>
              <w:t xml:space="preserve">78.7 ± 20.0</w:t>
            </w:r>
          </w:p>
        </w:tc>
      </w:tr>
      <w:tr>
        <w:trPr/>
        <w:tc>
          <w:tcPr>
            <w:tcW w:w="1400" w:type="dxa"/>
          </w:tcPr>
          <w:p>
            <w:pPr>
              <w:spacing w:before="0" w:after="0"/>
              <w:rPr>
                <w:sz w:val="14"/>
              </w:rPr>
            </w:pPr>
            <w:r>
              <w:rPr>
                <w:sz w:val="14"/>
                <w:szCs w:val="14"/>
              </w:rPr>
              <w:t xml:space="preserve">S2 burned (ha)</w:t>
            </w:r>
          </w:p>
        </w:tc>
        <w:tc>
          <w:tcPr>
            <w:tcW w:w="800" w:type="dxa"/>
          </w:tcPr>
          <w:p>
            <w:pPr>
              <w:spacing w:before="0" w:after="0"/>
              <w:rPr>
                <w:sz w:val="14"/>
              </w:rPr>
            </w:pPr>
            <w:r>
              <w:rPr>
                <w:sz w:val="14"/>
                <w:szCs w:val="14"/>
              </w:rPr>
              <w:t xml:space="preserve">266.4 ± 5.2</w:t>
            </w:r>
          </w:p>
        </w:tc>
        <w:tc>
          <w:tcPr>
            <w:tcW w:w="900" w:type="dxa"/>
          </w:tcPr>
          <w:p>
            <w:pPr>
              <w:spacing w:before="0" w:after="0"/>
              <w:rPr>
                <w:sz w:val="14"/>
              </w:rPr>
            </w:pPr>
            <w:r>
              <w:rPr>
                <w:sz w:val="14"/>
                <w:szCs w:val="14"/>
              </w:rPr>
              <w:t xml:space="preserve">181.4 ± 17.6</w:t>
            </w:r>
          </w:p>
        </w:tc>
        <w:tc>
          <w:tcPr>
            <w:tcW w:w="950" w:type="dxa"/>
          </w:tcPr>
          <w:p>
            <w:pPr>
              <w:spacing w:before="0" w:after="0"/>
              <w:rPr>
                <w:sz w:val="14"/>
              </w:rPr>
            </w:pPr>
            <w:r>
              <w:rPr>
                <w:sz w:val="14"/>
                <w:szCs w:val="14"/>
              </w:rPr>
              <w:t xml:space="preserve">177.5 ± 17.5</w:t>
            </w:r>
          </w:p>
        </w:tc>
        <w:tc>
          <w:tcPr>
            <w:tcW w:w="950" w:type="dxa"/>
          </w:tcPr>
          <w:p>
            <w:pPr>
              <w:spacing w:before="0" w:after="0"/>
              <w:rPr>
                <w:sz w:val="14"/>
              </w:rPr>
            </w:pPr>
            <w:r>
              <w:rPr>
                <w:sz w:val="14"/>
                <w:szCs w:val="14"/>
              </w:rPr>
              <w:t xml:space="preserve">168.2 ± 20.0</w:t>
            </w:r>
          </w:p>
        </w:tc>
      </w:tr>
      <w:tr>
        <w:trPr/>
        <w:tc>
          <w:tcPr>
            <w:tcW w:w="1400" w:type="dxa"/>
          </w:tcPr>
          <w:p>
            <w:pPr>
              <w:spacing w:before="0" w:after="0"/>
              <w:rPr>
                <w:sz w:val="14"/>
              </w:rPr>
            </w:pPr>
            <w:r>
              <w:rPr>
                <w:sz w:val="14"/>
                <w:szCs w:val="14"/>
              </w:rPr>
              <w:t xml:space="preserve">S3 burned (ha)</w:t>
            </w:r>
          </w:p>
        </w:tc>
        <w:tc>
          <w:tcPr>
            <w:tcW w:w="800" w:type="dxa"/>
          </w:tcPr>
          <w:p>
            <w:pPr>
              <w:spacing w:before="0" w:after="0"/>
              <w:rPr>
                <w:sz w:val="14"/>
              </w:rPr>
            </w:pPr>
            <w:r>
              <w:rPr>
                <w:sz w:val="14"/>
                <w:szCs w:val="14"/>
              </w:rPr>
              <w:t xml:space="preserve">235.4 ± 8.2</w:t>
            </w:r>
          </w:p>
        </w:tc>
        <w:tc>
          <w:tcPr>
            <w:tcW w:w="900" w:type="dxa"/>
          </w:tcPr>
          <w:p>
            <w:pPr>
              <w:spacing w:before="0" w:after="0"/>
              <w:rPr>
                <w:sz w:val="14"/>
              </w:rPr>
            </w:pPr>
            <w:r>
              <w:rPr>
                <w:sz w:val="14"/>
                <w:szCs w:val="14"/>
              </w:rPr>
              <w:t xml:space="preserve">33.5 ± 8.0</w:t>
            </w:r>
          </w:p>
        </w:tc>
        <w:tc>
          <w:tcPr>
            <w:tcW w:w="950" w:type="dxa"/>
          </w:tcPr>
          <w:p>
            <w:pPr>
              <w:spacing w:before="0" w:after="0"/>
              <w:rPr>
                <w:sz w:val="14"/>
              </w:rPr>
            </w:pPr>
            <w:r>
              <w:rPr>
                <w:sz w:val="14"/>
                <w:szCs w:val="14"/>
              </w:rPr>
              <w:t xml:space="preserve">29.8 ± 7.3</w:t>
            </w:r>
          </w:p>
        </w:tc>
        <w:tc>
          <w:tcPr>
            <w:tcW w:w="950" w:type="dxa"/>
          </w:tcPr>
          <w:p>
            <w:pPr>
              <w:spacing w:before="0" w:after="0"/>
              <w:rPr>
                <w:sz w:val="14"/>
              </w:rPr>
            </w:pPr>
            <w:r>
              <w:rPr>
                <w:sz w:val="14"/>
                <w:szCs w:val="14"/>
              </w:rPr>
              <w:t xml:space="preserve">27.0 ± 6.4</w:t>
            </w:r>
          </w:p>
        </w:tc>
      </w:tr>
      <w:tr>
        <w:trPr/>
        <w:tc>
          <w:tcPr>
            <w:tcW w:w="1400" w:type="dxa"/>
          </w:tcPr>
          <w:p>
            <w:pPr>
              <w:spacing w:before="0" w:after="0"/>
              <w:rPr>
                <w:sz w:val="14"/>
              </w:rPr>
            </w:pPr>
            <w:r>
              <w:rPr>
                <w:sz w:val="14"/>
                <w:szCs w:val="14"/>
              </w:rPr>
              <w:t xml:space="preserve">S4 burned (ha)</w:t>
            </w:r>
          </w:p>
        </w:tc>
        <w:tc>
          <w:tcPr>
            <w:tcW w:w="800" w:type="dxa"/>
          </w:tcPr>
          <w:p>
            <w:pPr>
              <w:spacing w:before="0" w:after="0"/>
              <w:rPr>
                <w:sz w:val="14"/>
              </w:rPr>
            </w:pPr>
            <w:r>
              <w:rPr>
                <w:sz w:val="14"/>
                <w:szCs w:val="14"/>
              </w:rPr>
              <w:t xml:space="preserve">245.1 ± 7.6</w:t>
            </w:r>
          </w:p>
        </w:tc>
        <w:tc>
          <w:tcPr>
            <w:tcW w:w="900" w:type="dxa"/>
          </w:tcPr>
          <w:p>
            <w:pPr>
              <w:spacing w:before="0" w:after="0"/>
              <w:rPr>
                <w:sz w:val="14"/>
              </w:rPr>
            </w:pPr>
            <w:r>
              <w:rPr>
                <w:sz w:val="14"/>
                <w:szCs w:val="14"/>
              </w:rPr>
              <w:t xml:space="preserve">55.1 ± 7.3</w:t>
            </w:r>
          </w:p>
        </w:tc>
        <w:tc>
          <w:tcPr>
            <w:tcW w:w="950" w:type="dxa"/>
          </w:tcPr>
          <w:p>
            <w:pPr>
              <w:spacing w:before="0" w:after="0"/>
              <w:rPr>
                <w:sz w:val="14"/>
              </w:rPr>
            </w:pPr>
            <w:r>
              <w:rPr>
                <w:sz w:val="14"/>
                <w:szCs w:val="14"/>
              </w:rPr>
              <w:t xml:space="preserve">58.2 ± 8.1</w:t>
            </w:r>
          </w:p>
        </w:tc>
        <w:tc>
          <w:tcPr>
            <w:tcW w:w="950" w:type="dxa"/>
          </w:tcPr>
          <w:p>
            <w:pPr>
              <w:spacing w:before="0" w:after="0"/>
              <w:rPr>
                <w:sz w:val="14"/>
              </w:rPr>
            </w:pPr>
            <w:r>
              <w:rPr>
                <w:sz w:val="14"/>
                <w:szCs w:val="14"/>
              </w:rPr>
              <w:t xml:space="preserve">52.3 ± 8.1</w:t>
            </w:r>
          </w:p>
        </w:tc>
      </w:tr>
      <w:tr>
        <w:trPr/>
        <w:tc>
          <w:tcPr>
            <w:tcW w:w="1400" w:type="dxa"/>
          </w:tcPr>
          <w:p>
            <w:pPr>
              <w:spacing w:before="0" w:after="0"/>
              <w:rPr>
                <w:sz w:val="14"/>
              </w:rPr>
            </w:pPr>
            <w:r>
              <w:rPr>
                <w:sz w:val="14"/>
                <w:szCs w:val="14"/>
              </w:rPr>
              <w:t xml:space="preserve">S5 burned (ha)</w:t>
            </w:r>
          </w:p>
        </w:tc>
        <w:tc>
          <w:tcPr>
            <w:tcW w:w="800" w:type="dxa"/>
          </w:tcPr>
          <w:p>
            <w:pPr>
              <w:spacing w:before="0" w:after="0"/>
              <w:rPr>
                <w:sz w:val="14"/>
              </w:rPr>
            </w:pPr>
            <w:r>
              <w:rPr>
                <w:sz w:val="14"/>
                <w:szCs w:val="14"/>
              </w:rPr>
              <w:t xml:space="preserve">245.1 ± 7.6</w:t>
            </w:r>
          </w:p>
        </w:tc>
        <w:tc>
          <w:tcPr>
            <w:tcW w:w="900" w:type="dxa"/>
          </w:tcPr>
          <w:p>
            <w:pPr>
              <w:spacing w:before="0" w:after="0"/>
              <w:rPr>
                <w:sz w:val="14"/>
              </w:rPr>
            </w:pPr>
            <w:r>
              <w:rPr>
                <w:sz w:val="14"/>
                <w:szCs w:val="14"/>
              </w:rPr>
              <w:t xml:space="preserve">60.0 ± 8.1</w:t>
            </w:r>
          </w:p>
        </w:tc>
        <w:tc>
          <w:tcPr>
            <w:tcW w:w="950" w:type="dxa"/>
          </w:tcPr>
          <w:p>
            <w:pPr>
              <w:spacing w:before="0" w:after="0"/>
              <w:rPr>
                <w:sz w:val="14"/>
              </w:rPr>
            </w:pPr>
            <w:r>
              <w:rPr>
                <w:sz w:val="14"/>
                <w:szCs w:val="14"/>
              </w:rPr>
              <w:t xml:space="preserve">61.0 ± 8.9</w:t>
            </w:r>
          </w:p>
        </w:tc>
        <w:tc>
          <w:tcPr>
            <w:tcW w:w="950" w:type="dxa"/>
          </w:tcPr>
          <w:p>
            <w:pPr>
              <w:spacing w:before="0" w:after="0"/>
              <w:rPr>
                <w:sz w:val="14"/>
              </w:rPr>
            </w:pPr>
            <w:r>
              <w:rPr>
                <w:sz w:val="14"/>
                <w:szCs w:val="14"/>
              </w:rPr>
              <w:t xml:space="preserve">54.3 ± 7.9</w:t>
            </w:r>
          </w:p>
        </w:tc>
      </w:tr>
      <w:tr>
        <w:trPr/>
        <w:tc>
          <w:tcPr>
            <w:tcW w:w="1400" w:type="dxa"/>
          </w:tcPr>
          <w:p>
            <w:pPr>
              <w:spacing w:before="0" w:after="0"/>
              <w:rPr>
                <w:sz w:val="14"/>
              </w:rPr>
            </w:pPr>
            <w:r>
              <w:rPr>
                <w:sz w:val="14"/>
                <w:szCs w:val="14"/>
              </w:rPr>
              <w:t xml:space="preserve">Mean burned (ha)</w:t>
            </w:r>
          </w:p>
        </w:tc>
        <w:tc>
          <w:tcPr>
            <w:tcW w:w="800" w:type="dxa"/>
          </w:tcPr>
          <w:p>
            <w:pPr>
              <w:spacing w:before="0" w:after="0"/>
              <w:rPr>
                <w:sz w:val="14"/>
              </w:rPr>
            </w:pPr>
            <w:r>
              <w:rPr>
                <w:sz w:val="14"/>
                <w:szCs w:val="14"/>
              </w:rPr>
              <w:t xml:space="preserve">250.8</w:t>
            </w:r>
          </w:p>
        </w:tc>
        <w:tc>
          <w:tcPr>
            <w:tcW w:w="900" w:type="dxa"/>
          </w:tcPr>
          <w:p>
            <w:pPr>
              <w:spacing w:before="0" w:after="0"/>
              <w:rPr>
                <w:sz w:val="14"/>
              </w:rPr>
            </w:pPr>
            <w:r>
              <w:rPr>
                <w:sz w:val="14"/>
                <w:szCs w:val="14"/>
              </w:rPr>
              <w:t xml:space="preserve">84.7</w:t>
            </w:r>
          </w:p>
        </w:tc>
        <w:tc>
          <w:tcPr>
            <w:tcW w:w="950" w:type="dxa"/>
          </w:tcPr>
          <w:p>
            <w:pPr>
              <w:spacing w:before="0" w:after="0"/>
              <w:rPr>
                <w:sz w:val="14"/>
              </w:rPr>
            </w:pPr>
            <w:r>
              <w:rPr>
                <w:sz w:val="14"/>
                <w:szCs w:val="14"/>
              </w:rPr>
              <w:t xml:space="preserve">83.0</w:t>
            </w:r>
          </w:p>
        </w:tc>
        <w:tc>
          <w:tcPr>
            <w:tcW w:w="950" w:type="dxa"/>
          </w:tcPr>
          <w:p>
            <w:pPr>
              <w:spacing w:before="0" w:after="0"/>
              <w:rPr>
                <w:sz w:val="14"/>
              </w:rPr>
            </w:pPr>
            <w:r>
              <w:rPr>
                <w:sz w:val="14"/>
                <w:szCs w:val="14"/>
              </w:rPr>
              <w:t xml:space="preserve">76.1</w:t>
            </w:r>
          </w:p>
        </w:tc>
      </w:tr>
      <w:tr>
        <w:trPr/>
        <w:tc>
          <w:tcPr>
            <w:tcW w:w="1400" w:type="dxa"/>
          </w:tcPr>
          <w:p>
            <w:pPr>
              <w:spacing w:before="0" w:after="0"/>
              <w:rPr>
                <w:sz w:val="14"/>
              </w:rPr>
            </w:pPr>
            <w:r>
              <w:rPr>
                <w:sz w:val="14"/>
                <w:szCs w:val="14"/>
              </w:rPr>
              <w:t xml:space="preserve">Extinguished within episode</w:t>
            </w:r>
          </w:p>
        </w:tc>
        <w:tc>
          <w:tcPr>
            <w:tcW w:w="800" w:type="dxa"/>
          </w:tcPr>
          <w:p>
            <w:pPr>
              <w:spacing w:before="0" w:after="0"/>
              <w:rPr>
                <w:sz w:val="14"/>
              </w:rPr>
            </w:pPr>
            <w:r>
              <w:rPr>
                <w:sz w:val="14"/>
                <w:szCs w:val="14"/>
              </w:rPr>
              <w:t xml:space="preserve">0 %</w:t>
            </w:r>
          </w:p>
        </w:tc>
        <w:tc>
          <w:tcPr>
            <w:tcW w:w="900" w:type="dxa"/>
          </w:tcPr>
          <w:p>
            <w:pPr>
              <w:spacing w:before="0" w:after="0"/>
              <w:rPr>
                <w:sz w:val="14"/>
              </w:rPr>
            </w:pPr>
            <w:r>
              <w:rPr>
                <w:sz w:val="14"/>
                <w:szCs w:val="14"/>
              </w:rPr>
              <w:t xml:space="preserve">10 %</w:t>
            </w:r>
          </w:p>
        </w:tc>
        <w:tc>
          <w:tcPr>
            <w:tcW w:w="950" w:type="dxa"/>
          </w:tcPr>
          <w:p>
            <w:pPr>
              <w:spacing w:before="0" w:after="0"/>
              <w:rPr>
                <w:sz w:val="14"/>
              </w:rPr>
            </w:pPr>
            <w:r>
              <w:rPr>
                <w:sz w:val="14"/>
                <w:szCs w:val="14"/>
              </w:rPr>
              <w:t xml:space="preserve">46 %</w:t>
            </w:r>
          </w:p>
        </w:tc>
        <w:tc>
          <w:tcPr>
            <w:tcW w:w="950" w:type="dxa"/>
          </w:tcPr>
          <w:p>
            <w:pPr>
              <w:spacing w:before="0" w:after="0"/>
              <w:rPr>
                <w:sz w:val="14"/>
              </w:rPr>
            </w:pPr>
            <w:r>
              <w:rPr>
                <w:sz w:val="14"/>
                <w:szCs w:val="14"/>
              </w:rPr>
              <w:t xml:space="preserve">52 %</w:t>
            </w:r>
          </w:p>
        </w:tc>
      </w:tr>
      <w:tr>
        <w:trPr/>
        <w:tc>
          <w:tcPr>
            <w:tcW w:w="1400" w:type="dxa"/>
          </w:tcPr>
          <w:p>
            <w:pPr>
              <w:spacing w:before="0" w:after="0"/>
              <w:rPr>
                <w:sz w:val="14"/>
              </w:rPr>
            </w:pPr>
            <w:r>
              <w:rPr>
                <w:sz w:val="14"/>
                <w:szCs w:val="14"/>
              </w:rPr>
              <w:t xml:space="preserve">Affected population</w:t>
            </w:r>
          </w:p>
        </w:tc>
        <w:tc>
          <w:tcPr>
            <w:tcW w:w="800" w:type="dxa"/>
          </w:tcPr>
          <w:p>
            <w:pPr>
              <w:spacing w:before="0" w:after="0"/>
              <w:rPr>
                <w:sz w:val="14"/>
              </w:rPr>
            </w:pPr>
            <w:r>
              <w:rPr>
                <w:sz w:val="14"/>
                <w:szCs w:val="14"/>
              </w:rPr>
              <w:t xml:space="preserve">5775</w:t>
            </w:r>
          </w:p>
        </w:tc>
        <w:tc>
          <w:tcPr>
            <w:tcW w:w="900" w:type="dxa"/>
          </w:tcPr>
          <w:p>
            <w:pPr>
              <w:spacing w:before="0" w:after="0"/>
              <w:rPr>
                <w:sz w:val="14"/>
              </w:rPr>
            </w:pPr>
            <w:r>
              <w:rPr>
                <w:sz w:val="14"/>
                <w:szCs w:val="14"/>
              </w:rPr>
              <w:t xml:space="preserve">498</w:t>
            </w:r>
          </w:p>
        </w:tc>
        <w:tc>
          <w:tcPr>
            <w:tcW w:w="950" w:type="dxa"/>
          </w:tcPr>
          <w:p>
            <w:pPr>
              <w:spacing w:before="0" w:after="0"/>
              <w:rPr>
                <w:sz w:val="14"/>
              </w:rPr>
            </w:pPr>
            <w:r>
              <w:rPr>
                <w:sz w:val="14"/>
                <w:szCs w:val="14"/>
              </w:rPr>
              <w:t xml:space="preserve">396</w:t>
            </w:r>
          </w:p>
        </w:tc>
        <w:tc>
          <w:tcPr>
            <w:tcW w:w="950" w:type="dxa"/>
          </w:tcPr>
          <w:p>
            <w:pPr>
              <w:spacing w:before="0" w:after="0"/>
              <w:rPr>
                <w:sz w:val="14"/>
              </w:rPr>
            </w:pPr>
            <w:r>
              <w:rPr>
                <w:sz w:val="14"/>
                <w:szCs w:val="14"/>
              </w:rPr>
              <w:t xml:space="preserve">358</w:t>
            </w:r>
          </w:p>
        </w:tc>
      </w:tr>
      <w:tr>
        <w:trPr/>
        <w:tc>
          <w:tcPr>
            <w:tcW w:w="1400" w:type="dxa"/>
          </w:tcPr>
          <w:p>
            <w:pPr>
              <w:spacing w:before="0" w:after="0"/>
              <w:rPr>
                <w:sz w:val="14"/>
              </w:rPr>
            </w:pPr>
            <w:r>
              <w:rPr>
                <w:sz w:val="14"/>
                <w:szCs w:val="14"/>
              </w:rPr>
              <w:t xml:space="preserve">Mean Jphys</w:t>
            </w:r>
          </w:p>
        </w:tc>
        <w:tc>
          <w:tcPr>
            <w:tcW w:w="800" w:type="dxa"/>
          </w:tcPr>
          <w:p>
            <w:pPr>
              <w:spacing w:before="0" w:after="0"/>
              <w:rPr>
                <w:sz w:val="14"/>
              </w:rPr>
            </w:pPr>
            <w:r>
              <w:rPr>
                <w:sz w:val="14"/>
                <w:szCs w:val="14"/>
              </w:rPr>
              <w:t xml:space="preserve">0.596</w:t>
            </w:r>
          </w:p>
        </w:tc>
        <w:tc>
          <w:tcPr>
            <w:tcW w:w="900" w:type="dxa"/>
          </w:tcPr>
          <w:p>
            <w:pPr>
              <w:spacing w:before="0" w:after="0"/>
              <w:rPr>
                <w:sz w:val="14"/>
              </w:rPr>
            </w:pPr>
            <w:r>
              <w:rPr>
                <w:sz w:val="14"/>
                <w:szCs w:val="14"/>
              </w:rPr>
              <w:t xml:space="preserve">0.160</w:t>
            </w:r>
          </w:p>
        </w:tc>
        <w:tc>
          <w:tcPr>
            <w:tcW w:w="950" w:type="dxa"/>
          </w:tcPr>
          <w:p>
            <w:pPr>
              <w:spacing w:before="0" w:after="0"/>
              <w:rPr>
                <w:sz w:val="14"/>
              </w:rPr>
            </w:pPr>
            <w:r>
              <w:rPr>
                <w:sz w:val="14"/>
                <w:szCs w:val="14"/>
              </w:rPr>
              <w:t xml:space="preserve">0.151</w:t>
            </w:r>
          </w:p>
        </w:tc>
        <w:tc>
          <w:tcPr>
            <w:tcW w:w="950" w:type="dxa"/>
          </w:tcPr>
          <w:p>
            <w:pPr>
              <w:spacing w:before="0" w:after="0"/>
              <w:rPr>
                <w:sz w:val="14"/>
              </w:rPr>
            </w:pPr>
            <w:r>
              <w:rPr>
                <w:sz w:val="14"/>
                <w:szCs w:val="14"/>
              </w:rPr>
              <w:t xml:space="preserve">0.140</w:t>
            </w:r>
          </w:p>
        </w:tc>
      </w:tr>
      <w:tr>
        <w:trPr/>
        <w:tc>
          <w:tcPr>
            <w:tcW w:w="1400" w:type="dxa"/>
          </w:tcPr>
          <w:p>
            <w:pPr>
              <w:spacing w:before="0" w:after="0"/>
              <w:rPr>
                <w:sz w:val="14"/>
              </w:rPr>
            </w:pPr>
            <w:r>
              <w:rPr>
                <w:sz w:val="14"/>
                <w:szCs w:val="14"/>
              </w:rPr>
              <w:t xml:space="preserve">Mean Jtotal</w:t>
            </w:r>
          </w:p>
        </w:tc>
        <w:tc>
          <w:tcPr>
            <w:tcW w:w="800" w:type="dxa"/>
          </w:tcPr>
          <w:p>
            <w:pPr>
              <w:spacing w:before="0" w:after="0"/>
              <w:rPr>
                <w:sz w:val="14"/>
              </w:rPr>
            </w:pPr>
            <w:r>
              <w:rPr>
                <w:sz w:val="14"/>
                <w:szCs w:val="14"/>
              </w:rPr>
              <w:t xml:space="preserve">(0.526)</w:t>
            </w:r>
          </w:p>
        </w:tc>
        <w:tc>
          <w:tcPr>
            <w:tcW w:w="900" w:type="dxa"/>
          </w:tcPr>
          <w:p>
            <w:pPr>
              <w:spacing w:before="0" w:after="0"/>
              <w:rPr>
                <w:sz w:val="14"/>
              </w:rPr>
            </w:pPr>
            <w:r>
              <w:rPr>
                <w:sz w:val="14"/>
                <w:szCs w:val="14"/>
              </w:rPr>
              <w:t xml:space="preserve">0.193</w:t>
            </w:r>
          </w:p>
        </w:tc>
        <w:tc>
          <w:tcPr>
            <w:tcW w:w="950" w:type="dxa"/>
          </w:tcPr>
          <w:p>
            <w:pPr>
              <w:spacing w:before="0" w:after="0"/>
              <w:rPr>
                <w:sz w:val="14"/>
              </w:rPr>
            </w:pPr>
            <w:r>
              <w:rPr>
                <w:sz w:val="14"/>
                <w:szCs w:val="14"/>
              </w:rPr>
              <w:t xml:space="preserve">0.176</w:t>
            </w:r>
          </w:p>
        </w:tc>
        <w:tc>
          <w:tcPr>
            <w:tcW w:w="950" w:type="dxa"/>
          </w:tcPr>
          <w:p>
            <w:pPr>
              <w:spacing w:before="0" w:after="0"/>
              <w:rPr>
                <w:sz w:val="14"/>
              </w:rPr>
            </w:pPr>
            <w:r>
              <w:rPr>
                <w:sz w:val="14"/>
                <w:szCs w:val="14"/>
              </w:rPr>
              <w:t xml:space="preserve">0.168</w:t>
            </w:r>
          </w:p>
        </w:tc>
      </w:tr>
    </w:tbl>
    <w:p>
      <w:pPr>
        <w:pStyle w:val="Heading2"/>
        <w:rPr/>
      </w:pPr>
      <w:r>
        <w:t xml:space="preserve">E. Open Intervention Space in Operation</w:t>
      </w:r>
    </w:p>
    <w:p>
      <w:pPr>
        <w:pStyle w:val="Text"/>
        <w:rPr/>
      </w:pPr>
      <w:r>
        <w:t xml:space="preserve">Adaptation runs only on demand: it is triggered by a forecast cost above the satisficing bound or by a coverage gap while fire is alive, so the volume of trials measures how often the standing decision fell short and the acceptance rate how strictly the gates filtered the responses. In the recorded runs with the language-model proposer, 160 runs over 7130 decision cycles, stage 1 kept 129 of 616 consequent-step trials (21 %), stage 2 kept 40 of 359 (11 %) on antecedent cells left empty while fire was alive, and stage 3 was invoked 232 times with 47 admissions, 36 plain rules and 11 vocabulary packages. Of 157247 candidate interventions 151745 reached the field: the fail-safe engaged in 5338 region cycles and the no-harm veto held the offensive channels in 113. Fig. 12 shows the two evolving-fuzzy funnels and the generative cascade. The rule base grows from the five seed rules to 8.8 active rules on average at the end of an episode, and the rules born of adaptation carry 52 percent of the firing strength of the fielded decisions, so the orders behind Table V come in near equal measure from doctrine and from what the loop wrote during the incident.</w:t>
      </w:r>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r>
        <w:t xml:space="preserve"/>
      </w:r>
    </w:p>
    <w:p>
      <w:pPr>
        <w:pStyle w:val="Heading2"/>
        <w:rPr/>
      </w:pPr>
      <w:r>
        <w:t xml:space="preserve">F. Timeliness and Scalability</w:t>
      </w: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noChangeAspect="1"/>
                                  </wp:cNvGraphicFramePr>
                                  <a:graphic>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r>
        <w:t xml:space="preserve"/>
      </w:r>
    </w:p>
    <w:p>
      <w:pPr>
        <w:pStyle w:val="Text"/>
        <w:rPr/>
      </w:pPr>
      <w:r>
        <w:t xml:space="preserve">The decision layer is also compared with an external reference: a value-weighted greedy allocation that shares the simulator, the worlds, the seeds, the resource pool, and the actuation mapping, and differs only in the decision. Every cycle it commits the pool toward the regions carrying the highest value at risk near the fire, at full intensity, with no forecast, no acceptance test, and no life-safety channel. Fig. 14 places it beside the internal configurations on the five scenarios. On raw burned area the greedy reference is strong: with the same fire location every arm of this campaign receives, an immediate full commitment ends most episodes early, and the response term prices only the time integral of committed force, so the early surge is barely charged. Its margin narrows on the capacity-limited scenarios, and it issues no evacuation or warning order in any of the fifty runs, since it has no channel for them. The comparison therefore bounds what undivided aggression buys in this cost model, and locates the contribution of the architecture in what the reference cannot produce: screened orders that remain auditable, restraint under a capacity or observation deficit, and the life-safety channels.</w:t>
      </w:r>
    </w:p>
    <w:p>
      <w:pPr>
        <w:jc w:val="center"/>
        <w:rPr/>
      </w:pPr>
      <w:r>
        <w:drawing>
          <wp:inline xmlns:wp="http://schemas.openxmlformats.org/drawingml/2006/wordprocessingDrawing" distT="0" distB="0" distL="0" distR="0">
            <wp:extent cx="3154680" cy="2148840"/>
            <wp:effectExtent l="0" t="0" r="0" b="0"/>
            <wp:docPr id="64149" name="Fig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 name="FigGreedy"/>
                    <pic:cNvPicPr/>
                  </pic:nvPicPr>
                  <pic:blipFill>
                    <a:blip xmlns:r="http://schemas.openxmlformats.org/officeDocument/2006/relationships" r:embed="rId29"/>
                    <a:stretch>
                      <a:fillRect/>
                    </a:stretch>
                  </pic:blipFill>
                  <pic:spPr>
                    <a:xfrm>
                      <a:off x="0" y="0"/>
                      <a:ext cx="3154680" cy="2148840"/>
                    </a:xfrm>
                    <a:prstGeom prst="rect">
                      <a:avLst/>
                    </a:prstGeom>
                  </pic:spPr>
                </pic:pic>
              </a:graphicData>
            </a:graphic>
          </wp:inline>
        </w:drawing>
      </w:r>
    </w:p>
    <w:p>
      <w:pPr>
        <w:pStyle w:val="FigureCaption"/>
        <w:rPr/>
      </w:pPr>
      <w:r>
        <w:t xml:space="preserve">Fig. 14. Burned area at episode end for the external greedy reference and the internal configurations over the five scenarios; bars are means over ten worlds with 95 % confidence intervals.</w:t>
      </w:r>
    </w:p>
    <w:p>
      <w:pPr>
        <w:pStyle w:val="Heading2"/>
        <w:rPr/>
      </w:pPr>
      <w:r>
        <w:t xml:space="preserve">G. Compliance with the Evaluation Criteria</w:t>
      </w:r>
    </w:p>
    <w:p>
      <w:pPr>
        <w:pStyle w:val="Text"/>
        <w:rPr/>
      </w:pPr>
      <w:r>
        <w:t xml:space="preserve">Predictive fidelity rests on four blind hindcasts on real inputs, with front agreement of 86 to 94 % and detection probability of 85 to 97 %. Decision quality follows from the paired ladder: against no action DisasterAware lowers the burned area by 70 percent and the physical cost from 0.596 to 0.140; against the static doctrine it extinguishes 5.0 times as many incidents within the episode and leaves 28 percent fewer people affected, with the lowest cost of the four configurations in every family. Timeliness is met with a median decision of 274 ms against a twelve-minute cycle, scalability with one decision costing 0.02 to 0.16 % of the cycle and sixteen times the agents costing at most 1.29 times, and robustness with DisasterAware losing 4 percent under degraded observation while remaining the best tested. Uncertainty handling is structural, every feature carrying a confidence that gates its concept; adaptability shows in 129 of 616 stage-1 and 40 of 359 stage-2 trials kept and 47 generative admissions plus seven sited interventions; explainability in every edit, rejection, and generated object being logged with its trigger, gate, and consuming rule. Four criteria are met in full and four on the axis measured here: the hindcast base covers four fires, noise and communication failure are untested, operator-facing interpretability is not evaluated, and uncertainty is carried into the decision but not propagated as an ensemble.</w:t>
      </w:r>
    </w:p>
    <w:p>
      <w:pPr>
        <w:pStyle w:val="Heading1"/>
        <w:rPr/>
      </w:pPr>
      <w:r>
        <w:t xml:space="preserve">VI. Discussion: Systems Lessons and Limitations</w:t>
      </w:r>
    </w:p>
    <w:p>
      <w:pPr>
        <w:pStyle w:val="Text"/>
        <w:rPr/>
      </w:pPr>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worlds, so the benefit of each capability is a paired difference rather than an absolute score. Second, a vocabulary of orders that grows at runtime is safe only when admission is decided by gates that do not trust the proposer; four proposals in five are rejected here, and that selectivity is why the admitted objects can be fielded and why the outcome improves rather than merely changes. Third, keeping inference in the regional agents and out of the coordinator held the cost per decision almost flat as the number of agents grew, which is the property an incident of national scale requires.</w:t>
      </w:r>
    </w:p>
    <w:p>
      <w:pPr>
        <w:pStyle w:val="Text"/>
        <w:rPr/>
      </w:pPr>
      <w:r>
        <w:t xml:space="preserve">Three limitations bound the claims. The evaluation is entirely simulated: the hazard model is validated on real records, but no order was executed in a real incident and no fire officer took part in the loop. The comparison base is internal, since no deployed tool generates interventions over an open space; the paired ladder isolates the contribution of each capability, and the greedy allocation of Section V-F bounds what undivided aggression buys in this cost model. Finally, the proposals of a language model are not bitwise reproducible, although the campaign is logged with pinned configuration and seeds, and no admission depends on the proposer.</w:t>
      </w:r>
    </w:p>
    <w:p w14:paraId="57F3A5CA" w14:textId="77777777" w:rsidR="004A6C58" w:rsidRDefault="00121BAB">
      <w:pPr>
        <w:pStyle w:val="Heading1"/>
      </w:pPr>
      <w:r>
        <w:t xml:space="preserve"/>
      </w:r>
      <w:r>
        <w:t xml:space="preserve">VII. Conclusion and Future Work</w:t>
      </w:r>
      <w:r>
        <w:t xml:space="preserve"/>
      </w:r>
    </w:p>
    <w:p>
      <w:pPr>
        <w:pStyle w:val="Text"/>
        <w:rPr/>
      </w:pPr>
      <w:r>
        <w:t xml:space="preserve">This article presented DisasterAware, a distributed decision support architecture for wildfire response built on two separated cores. Ten confidence-gated features feed five decision concepts, a sparse Takagi-Sugeno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the last through a pretrained language model whose every proposal passes the same gates, which preserve the four invariants of Section IV-H. On an independently validated core, whose four blind hindcasts agree with the satellite record at 86 to 94 percent, the benefit was measured on paired worlds: DisasterAware extinguishes 52 percent of the incidents within the episode against 10 percent for the static doctrine, leaves 28 percent fewer people affected, lowers the burned area by 70 percent against no action and by 10 percent against the static doctrine, and does so at 274 ms per decision and at most 1.29 times the cost for sixteen times the agents, while every fielded order traces to its concepts, rules, and confidences.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scenario study will build families in which the seed doctrine is structurally insufficient, so that the tactics the open space composes can be measured against the tactics it was not given.</w:t>
      </w:r>
    </w:p>
    <w:p>
      <w:pPr>
        <w:pStyle w:val="Heading1"/>
        <w:numPr>
          <w:ilvl w:val="0"/>
          <w:numId w:val="0"/>
        </w:numPr>
        <w:rPr/>
      </w:pPr>
      <w:r>
        <w:t>Acknowledgment</w:t>
      </w:r>
    </w:p>
    <w:p>
      <w:pPr>
        <w:pStyle w:val="Text"/>
        <w:rPr/>
      </w:pPr>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ind w:left="245" w:hanging="245"/>
            <w:jc w:val="both"/>
            <w:rPr/>
          </w:pPr>
          <w:r>
            <w:rPr>
              <w:sz w:val="16"/>
              <w:szCs w:val="16"/>
            </w:rPr>
            <w:t xml:space="preserve">[35] A. Arbel and R. M. Tong, "On the generation of alternatives in decision analysis problems," Journal of the Operational Research Society, vol. 33, no. 4, pp. 377-387, 1982. [36] A. Colorni and A. Tsoukias, "What is a decision problem? Designing alternatives," in Preference Disaggregation in Multiple Criteria Decision Analysis, N. Matsatsinis and E. Grigoroudis, Eds. Cham, Switzerland: Springer, 2018, pp. 1-15. [37] A. Colorni and A. Tsoukias, "Designing alternatives in decision problems," Journal of Multi-Criteria Decision Analysis, vol. 27, no. 3-4, pp. 150-158, 2020. [38] G. J. Hofstede, "Open problems, formal problems," Journal of Decision Systems, vol. 4, no. 2, pp. 155-165, 1995. [39] F. Del Missier, M. Visentini, and T. Mantyla, "Option generation in decision making: Ideation beyond memory retrieval," Frontiers in Psychology, vol. 5, art. 1584, 2015. [40] B. Fazlollahi and R. Vahidov, "A method for generation of alternatives by decision support systems," Journal of Management Information Systems, vol. 18, no. 2, pp. 229-250, 2001. [41] E. D. Brill, J. M. Flach, L. D. Hopkins, and S. Ranjithan, "MGA: A decision support system for complex, incompletely defined problems," IEEE Transactions on Systems, Man, and Cybernetics, vol. 20, no. 4, pp. 745-757, 1990. [42] M. S. Levin, "Towards decision support technology platform for modular systems," arXiv:1408.5492, 2014. [43] P. Struss, "Model-based decision support systems: Conceptualization and general architecture," in Proc. 32nd Int. Workshop on Qualitative Reasoning (QR), 2019. [44] Y. Ding, X. Zhang, S. Amiri, N. Cao, H. Yang, A. Kaminski, C. Esselink, and S. Zhang, "Integrating action knowledge and LLMs for task planning and situation handling in open worlds," Autonomous Robots, vol. 47, pp. 981-997, 2023. [45] E. Gizzi, H. Amel, W. W. Lin, K. Rhea, and J. Sinapov, "Toward creative problem solving agents: Action discovery through behavior babbling," in Proc. IEEE Int. Conf. Development and Learning (ICDL), 2021, pp. 1-7. [46] R. Chandra, S. S. Kumar, R. Patra, and S. Agarwal, "Decision support system for forest fire management using ontology with big data and LLMs," Cluster Computing, vol. 28, art. 548, 2025. [47] Y. Cheng, Y. Lin, Y. Wu, L. Huang, T. Chen, W. Weng, and X. Zhang, "Retrieval over response: Large language model-augmented decision strategies for hierarchical wildfire risk evaluation," Fire, vol. 9, no. 4, art. 143, 2026. [48] N. Gerolimos, V. Alevizos, S. Edralin, C. Xu, G. Priniotakis, G. A. Papakostas, and Z. Yue, "Autonomous decision-making enhancing natural disaster management through open world machine learning: A systematic review," Human-Centric Intelligent Systems, vol. 5, pp. 269-284, 2025. [49] A. Sandeep, S. Jayarathna, S. Sandaruwan, V. Samarappuli, D. Meedeniya, and C. Perera, "Context-aware multi-agent architecture for wildfire insights," Sensors, vol. 26, art. 1070, 2026. [50] Y. Tan, "Trustworthy intelligence fusion for search and rescue: Designing grounded and secure multi-agent AI for mission decision support," M.S. thesis, California Polytechnic State Univ., San Luis Obispo, CA, USA, 2025. [51] J. Cui, C. Zhai, Y. Wang, and Y. Li, "Large language models and AI agents in disaster-resilient infrastructure: Concepts, applications, pathways, and challenges," Reliability Engineering and System Safety, vol. 267, art. 111683, 2026. [52] E. Park, J. Park, and T. Kim, "WildfireKR: An LLM-agent decision support framework for autonomous wildfire spread simulation in South Korea," IEEE Access, vol. 14, pp. 59185-59208, 2026.</w:t>
          </w:r>
        </w:p>
        <w:p>
          <w:pPr>
            <w:jc w:val="both"/>
            <w:rPr>
              <w:sz w:val="16"/>
              <w:szCs w:val="16"/>
            </w:rPr>
          </w:pPr>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pPr>
            <w:jc w:val="both"/>
            <w:rPr>
              <w:sz w:val="16"/>
              <w:szCs w:val="16"/>
            </w:rPr>
          </w:pPr>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