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34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composition and the model candidates add the remaining 20 points. Random seeds with the variation operator reach 34 ± 9%, below fresh sampling, so variations need good seeds. Without G5 to G8, the single random and LLM candidates still reduce area by 10 ± 9% and 25 ± 9%, within four points of the gated values, although the worlds worse than Closed rise from 40 to 49 and from 16 to 28 and the rule bases grow by about four rules. With one candidate per call the forecast gates have little to select from; G1 to G4 and the no-harm guard carry the protection, and the contribution of G5 to G8 lies in the search, where the same forecasts rank the 36 candidates.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make the forecast, not the proposer, the criterion of selection,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