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response cost by 46% against the closed layer, and raises the share of extinguished incidents from 52% to 91%; on a domain three times larger the area reduction is 57%. Behind the same gates, a search over the closed vocabulary reaches two thirds of this gain and a random proposer over the composed grammar three quarters, while a hand-written doctrine over the same effects gains little, so the gain rests first on the forecast-guided search and then on the compositions it finds from good seeds. The admitted interventions recur across incidents and, recorded as rules, transfer to unseen ones, while continued generation adds further gain under new conditions. The gain holds under single and combined model errors in the live world, under a fire state partly unseen by the planner, under four alternative cost functions, one of them rerun live, and across forecast budgets of 6 to 36 forecasts, where the margin of the model candidates opens at the full budget, and every row of the comparison tables carries a paired test with a Holm adjustment. The hazard model is assessed separately by hindcast of four documented fires against disk and ellipse references, and the decision core decides in under one second between model calls in a harness without the model,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in simulation as one system rather than as isolated algorithms; distributed operation of the agents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A supplementary file gives the hand-written rule base, the extraction constants, the simulation core maps and constants, the search budget and timing harness, and the proposer prompt. Code, configurations, world seeds and admission logs are available at https://github.com/northwind13/GODA, and the dissertation on which the work builds is cited in the manuscript.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