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w:t>
      </w:r>
      <w:r>
        <w:t>The open layer then generates candidates and passes every one of them through the gate chain on shadow forecasts; the best survivor is admitted.</w:t>
      </w:r>
      <w:r>
        <w:t xml:space="preserve"> The </w:t>
      </w:r>
      <w:r>
        <w:lastRenderedPageBreak/>
        <w:t>LLM serves as a context-conditioned proposal mechanism, using the incident description to compose structured intervention candidates from executable physical effects for subsequent simulation-based evaluation.</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w:t>
      </w:r>
      <w:r>
        <w:t xml:space="preserve"> objects that do not parse into the vocabulary; G2 rejects unknown effects or sectors and duplicates; G3 requires the rule to fire on the current reading; G4 enforces the free pool. Coating and ignition use no crew but are priced in capacity-steps against the funded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w:t>
      </w:r>
      <w:r>
        <w:t xml:space="preserve">G5 and G6, the same test on each of two independently seeded futures, require a strict gain.</w:t>
      </w:r>
      <w:r>
        <w:t xml:space="preserve">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the selected component. For a composed intervention, it changes a clause's </w:t>
      </w:r>
      <w:r>
        <w:lastRenderedPageBreak/>
        <w:t xml:space="preserve">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 Evacuation and warning also carry displacement cost, so retaining them does not guarantee a lower physical cost.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S5 models degraded observation through feature perturbations and reduced confidence, representing the effects of incomplete or delayed information on decision inference and targeting.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The model-error and independent-gate reruns set the effort level to high.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w:t>
      </w:r>
      <w:r>
        <w:t xml:space="preserve">The 40-rule control comprises the five seeds and 35 additional rules over the same families. A second hand-written control adds to the five seeds six composed tactics written from initial-attack practice over the seven effects, an aerial retardant line ahead of the head, structure protection, a flank line, a rear anchor, an evacuation belt and a burnout behind a cleared line, installed at minute 0.</w:t>
      </w:r>
      <w:r>
        <w:t xml:space="preserve">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only; the remaining rows are reported with unadjusted intervals and are exploratory.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The admitted objects lower forecast physical cost on their worse future by a median 0.008; a margin of 0.001 in G7 would have refused 92 of them.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w:t>
      </w:r>
      <w:r>
        <w:t xml:space="preserve">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installed as fixed rules, carry most of it: derived from 75 worlds and installed before 75 unseen worlds, they reduce area by 50 ± 15%.</w:t>
      </w:r>
      <w:r>
        <w:t xml:space="preserve">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installed in the closed layer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 The blind hindcast assesses spatial agreement for free spread and does not validate the modeled intervention effects.</w:t>
      </w:r>
    </w:p>
    <w:p w14:paraId="30DAB8EB" w14:textId="2055D6A3"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