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set of rules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as a rule for reuse.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domain three times larger. Equal-budget controls locate the gain: a search over the closed vocabulary reaches two thirds of it and a random proposer three quarters, a hand-written doctrine over the same effects gains little, and withdrawing each admitted object after one cycle removes the gain. The gain therefore rests on the gated search over the effect grammar and on the doctrine record,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In S5 the confidence of every reading, selected for corruption or not, is multiplied by 0.8, so the closed layer knows the outage rate but not which readings are corrupted.</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an exact repeat of the model side is not available.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III lists the controls. Each keeps the worlds and gates of GODA and changes one thing: the candidate source, the search budget, the variations, the futures the gates read or the persistence of what is admitted; the ungated controls admit after G1 to G4 with the no-harm guard still in place. The repeat uses the same worlds with new model calls; the independent-future test selects on the two standard shadow streams and completes G5 to G8 on two further streams, so the final test does not reuse the futures of the selection.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The gate, persistence, parity and coating-parity ablations and the effect-removal replay are listed in Table III and defined where their results are reported. Each setting has its own paired Closed reference. The six hand-written tactics of Table IV,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of this control chooses the band and amount of each tactic among six variants by the one-future forecast that prices every search candidate, six forecasts per tactic, the first time the tactic fires in a world. The evolutionary search is also run with populations of 6 over five generations and 18 over one generation at the same budget.</w:t>
      </w:r>
      <w:r>
        <w:fldChar w:fldCharType="begin"/>
      </w:r>
      <w:r>
        <w:instrText xml:space="preserve"> REF _RefTab_expert \h </w:instrText>
      </w:r>
      <w:r>
        <w:fldChar w:fldCharType="separate"/>
      </w:r>
      <w:r>
        <w:t xml:space="preserve"/>
      </w:r>
      <w:r>
        <w:fldChar w:fldCharType="end"/>
      </w:r>
      <w:r>
        <w:t xml:space="preserve"> Doctrine tests compare recorded tactics, family withholding, continued generation and object-removal replay.</w:t>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 xml:space="preserve">Controls and tests (each keeps the worlds of GODA and, unless stated, gates G1–G8)</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750"/>
        <w:gridCol w:w="2290"/>
        <w:gridCol w:w="1000"/>
      </w:tblGrid>
      <w:tr w:rsidR="00FF0CB1" w14:paraId="04E2DAB7" w14:textId="77777777" w:rsidTr="00284E68">
        <w:tc>
          <w:tcPr>
            <w:tcW w:w="1750" w:type="dxa"/>
            <w:shd w:val="clear" w:color="auto" w:fill="D9D9D9" w:themeFill="background1" w:themeFillShade="D9"/>
          </w:tcPr>
          <w:p w14:paraId="4EEADBFB" w14:textId="77777777" w:rsidR="00FF0CB1" w:rsidRDefault="00DB0B75">
            <w:pPr>
              <w:keepNext/>
              <w:spacing w:line="220" w:lineRule="auto"/>
            </w:pPr>
            <w:r>
              <w:rPr>
                <w:b/>
                <w:sz w:val="18"/>
              </w:rPr>
              <w:t xml:space="preserve">Setting</w:t>
            </w:r>
          </w:p>
        </w:tc>
        <w:tc>
          <w:tcPr>
            <w:tcW w:w="2290" w:type="dxa"/>
            <w:shd w:val="clear" w:color="auto" w:fill="D9D9D9" w:themeFill="background1" w:themeFillShade="D9"/>
          </w:tcPr>
          <w:p w14:paraId="2306007B" w14:textId="77777777" w:rsidR="00FF0CB1" w:rsidRDefault="00DB0B75">
            <w:pPr>
              <w:keepNext/>
              <w:spacing w:line="220" w:lineRule="auto"/>
              <w:jc w:val="center"/>
            </w:pPr>
            <w:r>
              <w:rPr>
                <w:b/>
                <w:sz w:val="18"/>
              </w:rPr>
              <w:t xml:space="preserve">Differs from GODA in</w:t>
            </w:r>
          </w:p>
        </w:tc>
        <w:tc>
          <w:tcPr>
            <w:tcW w:w="1000" w:type="dxa"/>
            <w:shd w:val="clear" w:color="auto" w:fill="D9D9D9" w:themeFill="background1" w:themeFillShade="D9"/>
          </w:tcPr>
          <w:p w14:paraId="384D2F6C" w14:textId="77777777" w:rsidR="00FF0CB1" w:rsidRDefault="00DB0B75">
            <w:pPr>
              <w:keepNext/>
              <w:spacing w:line="220" w:lineRule="auto"/>
              <w:jc w:val="center"/>
            </w:pPr>
            <w:r>
              <w:rPr>
                <w:b/>
                <w:sz w:val="18"/>
              </w:rPr>
              <w:t xml:space="preserve">Forecasts; gates</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Candidate source, search and gates</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Closed (reference)</w:t>
            </w:r>
          </w:p>
        </w:tc>
        <w:tc>
          <w:tcPr>
            <w:tcW w:w="2290" w:type="dxa"/>
          </w:tcPr>
          <w:p w14:paraId="66E0997B" w14:textId="77777777" w:rsidR="00FF0CB1" w:rsidRDefault="00DB0B75">
            <w:pPr>
              <w:keepNext/>
              <w:spacing w:line="220" w:lineRule="auto"/>
              <w:jc w:val="center"/>
            </w:pPr>
            <w:r>
              <w:rPr>
                <w:sz w:val="18"/>
              </w:rPr>
              <w:t xml:space="preserve">no open layer</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or LLM, one</w:t>
            </w:r>
          </w:p>
        </w:tc>
        <w:tc>
          <w:tcPr>
            <w:tcW w:w="2290" w:type="dxa"/>
          </w:tcPr>
          <w:p w14:paraId="66E0997B" w14:textId="77777777" w:rsidR="00FF0CB1" w:rsidRDefault="00DB0B75">
            <w:pPr>
              <w:keepNext/>
              <w:spacing w:line="220" w:lineRule="auto"/>
              <w:jc w:val="center"/>
            </w:pPr>
            <w:r>
              <w:rPr>
                <w:sz w:val="18"/>
              </w:rPr>
              <w:t xml:space="preserve">one unpriced candidate; ungated variant without G5–G8</w:t>
            </w:r>
          </w:p>
        </w:tc>
        <w:tc>
          <w:tcPr>
            <w:tcW w:w="1000" w:type="dxa"/>
          </w:tcPr>
          <w:p w14:paraId="516CF367" w14:textId="77777777" w:rsidR="00FF0CB1" w:rsidRDefault="00DB0B75">
            <w:pPr>
              <w:keepNext/>
              <w:spacing w:line="220" w:lineRule="auto"/>
              <w:jc w:val="center"/>
            </w:pPr>
            <w:r>
              <w:rPr>
                <w:sz w:val="18"/>
              </w:rPr>
              <w:t xml:space="preserve">0; G1–G8 or G1–G4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small; LLM, candidates only</w:t>
            </w:r>
          </w:p>
        </w:tc>
        <w:tc>
          <w:tcPr>
            <w:tcW w:w="2290" w:type="dxa"/>
          </w:tcPr>
          <w:p w14:paraId="66E0997B" w14:textId="77777777" w:rsidR="00FF0CB1" w:rsidRDefault="00DB0B75">
            <w:pPr>
              <w:keepNext/>
              <w:spacing w:line="220" w:lineRule="auto"/>
              <w:jc w:val="center"/>
            </w:pPr>
            <w:r>
              <w:rPr>
                <w:sz w:val="18"/>
              </w:rPr>
              <w:t xml:space="preserve">six samples or six model candidates, no variations</w:t>
            </w:r>
          </w:p>
        </w:tc>
        <w:tc>
          <w:tcPr>
            <w:tcW w:w="1000" w:type="dxa"/>
          </w:tcPr>
          <w:p w14:paraId="516CF367" w14:textId="77777777" w:rsidR="00FF0CB1" w:rsidRDefault="00DB0B75">
            <w:pPr>
              <w:keepNext/>
              <w:spacing w:line="220" w:lineRule="auto"/>
              <w:jc w:val="center"/>
            </w:pPr>
            <w:r>
              <w:rPr>
                <w:sz w:val="18"/>
              </w:rPr>
              <w:t xml:space="preserve">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full; families only; with variations</w:t>
            </w:r>
          </w:p>
        </w:tc>
        <w:tc>
          <w:tcPr>
            <w:tcW w:w="2290" w:type="dxa"/>
          </w:tcPr>
          <w:p w14:paraId="66E0997B" w14:textId="77777777" w:rsidR="00FF0CB1" w:rsidRDefault="00DB0B75">
            <w:pPr>
              <w:keepNext/>
              <w:spacing w:line="220" w:lineRule="auto"/>
              <w:jc w:val="center"/>
            </w:pPr>
            <w:r>
              <w:rPr>
                <w:sz w:val="18"/>
              </w:rPr>
              <w:t xml:space="preserve">uniform candidates; rules and macros only; six uniform seeds then variations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Hand-written seeds, with variations</w:t>
            </w:r>
          </w:p>
        </w:tc>
        <w:tc>
          <w:tcPr>
            <w:tcW w:w="2290" w:type="dxa"/>
          </w:tcPr>
          <w:p w14:paraId="66E0997B" w14:textId="77777777" w:rsidR="00FF0CB1" w:rsidRDefault="00DB0B75">
            <w:pPr>
              <w:keepNext/>
              <w:spacing w:line="220" w:lineRule="auto"/>
              <w:jc w:val="center"/>
            </w:pPr>
            <w:r>
              <w:rPr>
                <w:sz w:val="18"/>
              </w:rPr>
              <w:t xml:space="preserve">Table IV tactics as seeds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Evolutionary search</w:t>
            </w:r>
          </w:p>
        </w:tc>
        <w:tc>
          <w:tcPr>
            <w:tcW w:w="2290" w:type="dxa"/>
          </w:tcPr>
          <w:p w14:paraId="66E0997B" w14:textId="77777777" w:rsidR="00FF0CB1" w:rsidRDefault="00DB0B75">
            <w:pPr>
              <w:keepNext/>
              <w:spacing w:line="220" w:lineRule="auto"/>
              <w:jc w:val="center"/>
            </w:pPr>
            <w:r>
              <w:rPr>
                <w:sz w:val="18"/>
              </w:rPr>
              <w:t xml:space="preserve">population 12 × 3; also 6 × 5 and 18 × 1</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and GODA at 12 and 24</w:t>
            </w:r>
          </w:p>
        </w:tc>
        <w:tc>
          <w:tcPr>
            <w:tcW w:w="2290" w:type="dxa"/>
          </w:tcPr>
          <w:p w14:paraId="66E0997B" w14:textId="77777777" w:rsidR="00FF0CB1" w:rsidRDefault="00DB0B75">
            <w:pPr>
              <w:keepNext/>
              <w:spacing w:line="220" w:lineRule="auto"/>
              <w:jc w:val="center"/>
            </w:pPr>
            <w:r>
              <w:rPr>
                <w:sz w:val="18"/>
              </w:rPr>
              <w:t xml:space="preserve">search budget</w:t>
            </w:r>
          </w:p>
        </w:tc>
        <w:tc>
          <w:tcPr>
            <w:tcW w:w="1000" w:type="dxa"/>
          </w:tcPr>
          <w:p w14:paraId="516CF367" w14:textId="77777777" w:rsidR="00FF0CB1" w:rsidRDefault="00DB0B75">
            <w:pPr>
              <w:keepNext/>
              <w:spacing w:line="220" w:lineRule="auto"/>
              <w:jc w:val="center"/>
            </w:pPr>
            <w:r>
              <w:rPr>
                <w:sz w:val="18"/>
              </w:rPr>
              <w:t xml:space="preserve">12, 24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GODA repeat; independent gates</w:t>
            </w:r>
          </w:p>
        </w:tc>
        <w:tc>
          <w:tcPr>
            <w:tcW w:w="2290" w:type="dxa"/>
          </w:tcPr>
          <w:p w14:paraId="66E0997B" w14:textId="77777777" w:rsidR="00FF0CB1" w:rsidRDefault="00DB0B75">
            <w:pPr>
              <w:keepNext/>
              <w:spacing w:line="220" w:lineRule="auto"/>
              <w:jc w:val="center"/>
            </w:pPr>
            <w:r>
              <w:rPr>
                <w:sz w:val="18"/>
              </w:rPr>
              <w:t xml:space="preserve">new model calls; G5–G8 on two further streams</w:t>
            </w:r>
          </w:p>
        </w:tc>
        <w:tc>
          <w:tcPr>
            <w:tcW w:w="1000" w:type="dxa"/>
          </w:tcPr>
          <w:p w14:paraId="516CF367" w14:textId="77777777" w:rsidR="00FF0CB1" w:rsidRDefault="00DB0B75">
            <w:pPr>
              <w:keepNext/>
              <w:spacing w:line="220" w:lineRule="auto"/>
              <w:jc w:val="center"/>
            </w:pPr>
            <w:r>
              <w:rPr>
                <w:sz w:val="18"/>
              </w:rPr>
              <w:t xml:space="preserve">36; 36 + 4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Gates on one future, G5 only</w:t>
            </w:r>
          </w:p>
        </w:tc>
        <w:tc>
          <w:tcPr>
            <w:tcW w:w="2290" w:type="dxa"/>
          </w:tcPr>
          <w:p w14:paraId="66E0997B" w14:textId="77777777" w:rsidR="00FF0CB1" w:rsidRDefault="00DB0B75">
            <w:pPr>
              <w:keepNext/>
              <w:spacing w:line="220" w:lineRule="auto"/>
              <w:jc w:val="center"/>
            </w:pPr>
            <w:r>
              <w:rPr>
                <w:sz w:val="18"/>
              </w:rPr>
              <w:t xml:space="preserve">one future; G6–G8 off</w:t>
            </w:r>
          </w:p>
        </w:tc>
        <w:tc>
          <w:tcPr>
            <w:tcW w:w="1000" w:type="dxa"/>
          </w:tcPr>
          <w:p w14:paraId="516CF367" w14:textId="77777777" w:rsidR="00FF0CB1" w:rsidRDefault="00DB0B75">
            <w:pPr>
              <w:keepNext/>
              <w:spacing w:line="220" w:lineRule="auto"/>
              <w:jc w:val="center"/>
            </w:pPr>
            <w:r>
              <w:rPr>
                <w:sz w:val="18"/>
              </w:rPr>
              <w:t xml:space="preserve">36; G1–G5</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Admitted objects withdrawn</w:t>
            </w:r>
          </w:p>
        </w:tc>
        <w:tc>
          <w:tcPr>
            <w:tcW w:w="2290" w:type="dxa"/>
          </w:tcPr>
          <w:p w14:paraId="66E0997B" w14:textId="77777777" w:rsidR="00FF0CB1" w:rsidRDefault="00DB0B75">
            <w:pPr>
              <w:keepNext/>
              <w:spacing w:line="220" w:lineRule="auto"/>
              <w:jc w:val="center"/>
            </w:pPr>
            <w:r>
              <w:rPr>
                <w:sz w:val="18"/>
              </w:rPr>
              <w:t xml:space="preserve">no doctrine within the incident</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Brief parity; coating parity</w:t>
            </w:r>
          </w:p>
        </w:tc>
        <w:tc>
          <w:tcPr>
            <w:tcW w:w="2290" w:type="dxa"/>
          </w:tcPr>
          <w:p w14:paraId="66E0997B" w14:textId="77777777" w:rsidR="00FF0CB1" w:rsidRDefault="00DB0B75">
            <w:pPr>
              <w:keepNext/>
              <w:spacing w:line="220" w:lineRule="auto"/>
              <w:jc w:val="center"/>
            </w:pPr>
            <w:r>
              <w:rPr>
                <w:sz w:val="18"/>
              </w:rPr>
              <w:t xml:space="preserve">brief from the perturbed copy; coat reach-limited and charged</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Model errors and limits (live world changed; planner nominal unless stated)</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Suppression errors (3)</w:t>
            </w:r>
          </w:p>
        </w:tc>
        <w:tc>
          <w:tcPr>
            <w:tcW w:w="2290" w:type="dxa"/>
          </w:tcPr>
          <w:p w14:paraId="66E0997B" w14:textId="77777777" w:rsidR="00FF0CB1" w:rsidRDefault="00DB0B75">
            <w:pPr>
              <w:keepNext/>
              <w:spacing w:line="220" w:lineRule="auto"/>
              <w:jc w:val="center"/>
            </w:pPr>
            <w:r>
              <w:rPr>
                <w:sz w:val="18"/>
              </w:rPr>
              <w:t xml:space="preserve">intensity, travel decay, knockdown ×1.5</w:t>
            </w:r>
          </w:p>
        </w:tc>
        <w:tc>
          <w:tcPr>
            <w:tcW w:w="1000" w:type="dxa"/>
          </w:tcPr>
          <w:p w14:paraId="516CF367" w14:textId="77777777" w:rsidR="00FF0CB1" w:rsidRDefault="00DB0B75">
            <w:pPr>
              <w:keepNext/>
              <w:spacing w:line="220" w:lineRule="auto"/>
              <w:jc w:val="center"/>
            </w:pPr>
            <w:r>
              <w:rPr>
                <w:sz w:val="18"/>
              </w:rPr>
              <w:t xml:space="preserve">replay</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Coating weakened, ineffective; effectiveness sweep; wind ×1.5, ±30°</w:t>
            </w:r>
          </w:p>
        </w:tc>
        <w:tc>
          <w:tcPr>
            <w:tcW w:w="2290" w:type="dxa"/>
          </w:tcPr>
          <w:p w14:paraId="66E0997B" w14:textId="77777777" w:rsidR="00FF0CB1" w:rsidRDefault="00DB0B75">
            <w:pPr>
              <w:keepNext/>
              <w:spacing w:line="220" w:lineRule="auto"/>
              <w:jc w:val="center"/>
            </w:pPr>
            <w:r>
              <w:rPr>
                <w:sz w:val="18"/>
              </w:rPr>
              <w:t xml:space="preserve">coat effect halved or zero; 0.75 to 0 in four steps, replay; spread rate, direction</w:t>
            </w:r>
          </w:p>
        </w:tc>
        <w:tc>
          <w:tcPr>
            <w:tcW w:w="1000" w:type="dxa"/>
          </w:tcPr>
          <w:p w14:paraId="516CF367" w14:textId="77777777" w:rsidR="00FF0CB1" w:rsidRDefault="00DB0B75">
            <w:pPr>
              <w:keepNext/>
              <w:spacing w:line="220" w:lineRule="auto"/>
              <w:jc w:val="center"/>
            </w:pPr>
            <w:r>
              <w:rPr>
                <w:sz w:val="18"/>
              </w:rPr>
              <w:t xml:space="preserve">36; replay;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Spread kernel and embers; combined error</w:t>
            </w:r>
          </w:p>
        </w:tc>
        <w:tc>
          <w:tcPr>
            <w:tcW w:w="2290" w:type="dxa"/>
          </w:tcPr>
          <w:p w14:paraId="66E0997B" w14:textId="77777777" w:rsidR="00FF0CB1" w:rsidRDefault="00DB0B75">
            <w:pPr>
              <w:keepNext/>
              <w:spacing w:line="220" w:lineRule="auto"/>
              <w:jc w:val="center"/>
            </w:pPr>
            <w:r>
              <w:rPr>
                <w:sz w:val="18"/>
              </w:rPr>
              <w:t xml:space="preserve">cosine kernel, short embers; with wind ×1.5 and weak coating</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Price, stock, delay limits</w:t>
            </w:r>
          </w:p>
        </w:tc>
        <w:tc>
          <w:tcPr>
            <w:tcW w:w="2290" w:type="dxa"/>
          </w:tcPr>
          <w:p w14:paraId="66E0997B" w14:textId="77777777" w:rsidR="00FF0CB1" w:rsidRDefault="00DB0B75">
            <w:pPr>
              <w:keepNext/>
              <w:spacing w:line="220" w:lineRule="auto"/>
              <w:jc w:val="center"/>
            </w:pPr>
            <w:r>
              <w:rPr>
                <w:sz w:val="18"/>
              </w:rPr>
              <w:t xml:space="preserve">planner and world alike</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Perturbed state</w:t>
            </w:r>
          </w:p>
        </w:tc>
        <w:tc>
          <w:tcPr>
            <w:tcW w:w="2290" w:type="dxa"/>
          </w:tcPr>
          <w:p w14:paraId="66E0997B" w14:textId="77777777" w:rsidR="00FF0CB1" w:rsidRDefault="00DB0B75">
            <w:pPr>
              <w:keepNext/>
              <w:spacing w:line="220" w:lineRule="auto"/>
              <w:jc w:val="center"/>
            </w:pPr>
            <w:r>
              <w:rPr>
                <w:sz w:val="18"/>
              </w:rPr>
              <w:t xml:space="preserve">25% of burning cells unseen by forecasts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Cost functions; larger domain</w:t>
            </w:r>
          </w:p>
        </w:tc>
        <w:tc>
          <w:tcPr>
            <w:tcW w:w="2290" w:type="dxa"/>
          </w:tcPr>
          <w:p w14:paraId="66E0997B" w14:textId="77777777" w:rsidR="00FF0CB1" w:rsidRDefault="00DB0B75">
            <w:pPr>
              <w:keepNext/>
              <w:spacing w:line="220" w:lineRule="auto"/>
              <w:jc w:val="center"/>
            </w:pPr>
            <w:r>
              <w:rPr>
                <w:sz w:val="18"/>
              </w:rPr>
              <w:t xml:space="preserve">four replays, one live rerun; 120 × 90 grid, 30 worlds</w:t>
            </w:r>
          </w:p>
        </w:tc>
        <w:tc>
          <w:tcPr>
            <w:tcW w:w="1000" w:type="dxa"/>
          </w:tcPr>
          <w:p w14:paraId="516CF367" w14:textId="77777777" w:rsidR="00FF0CB1" w:rsidRDefault="00DB0B75">
            <w:pPr>
              <w:keepNext/>
              <w:spacing w:line="220" w:lineRule="auto"/>
              <w:jc w:val="center"/>
            </w:pPr>
            <w:r>
              <w:rPr>
                <w:sz w:val="18"/>
              </w:rPr>
              <w:t xml:space="preserve">replay,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Doctrine and transfer</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40 rules; six hand-written tactics, as written or forecast-tuned</w:t>
            </w:r>
          </w:p>
        </w:tc>
        <w:tc>
          <w:tcPr>
            <w:tcW w:w="2290" w:type="dxa"/>
          </w:tcPr>
          <w:p w14:paraId="66E0997B" w14:textId="77777777" w:rsidR="00FF0CB1" w:rsidRDefault="00DB0B75">
            <w:pPr>
              <w:keepNext/>
              <w:spacing w:line="220" w:lineRule="auto"/>
              <w:jc w:val="center"/>
            </w:pPr>
            <w:r>
              <w:rPr>
                <w:sz w:val="18"/>
              </w:rPr>
              <w:t xml:space="preserve">full written doctrine; fixed library over the seven effects, band and amount tuned by six forecasts per tactic</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Recorded tactics; family withholding; S6–S8</w:t>
            </w:r>
          </w:p>
        </w:tc>
        <w:tc>
          <w:tcPr>
            <w:tcW w:w="2290" w:type="dxa"/>
          </w:tcPr>
          <w:p w14:paraId="66E0997B" w14:textId="77777777" w:rsidR="00FF0CB1" w:rsidRDefault="00DB0B75">
            <w:pPr>
              <w:keepNext/>
              <w:spacing w:line="220" w:lineRule="auto"/>
              <w:jc w:val="center"/>
            </w:pPr>
            <w:r>
              <w:rPr>
                <w:sz w:val="18"/>
              </w:rPr>
              <w:t xml:space="preserve">four transferred packages; a family removed; three new families</w:t>
            </w:r>
          </w:p>
        </w:tc>
        <w:tc>
          <w:tcPr>
            <w:tcW w:w="1000" w:type="dxa"/>
          </w:tcPr>
          <w:p w14:paraId="516CF367" w14:textId="77777777" w:rsidR="00FF0CB1" w:rsidRDefault="00DB0B75">
            <w:pPr>
              <w:keepNext/>
              <w:spacing w:line="220" w:lineRule="auto"/>
              <w:jc w:val="center"/>
            </w:pPr>
            <w:r>
              <w:rPr>
                <w:sz w:val="18"/>
              </w:rPr>
              <w:t xml:space="preserve">0 or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Object and effect removal</w:t>
            </w:r>
          </w:p>
        </w:tc>
        <w:tc>
          <w:tcPr>
            <w:tcW w:w="2290" w:type="dxa"/>
          </w:tcPr>
          <w:p w14:paraId="66E0997B" w14:textId="77777777" w:rsidR="00FF0CB1" w:rsidRDefault="00DB0B75">
            <w:pPr>
              <w:keepNext/>
              <w:spacing w:line="220" w:lineRule="auto"/>
              <w:jc w:val="center"/>
            </w:pPr>
            <w:r>
              <w:rPr>
                <w:sz w:val="18"/>
              </w:rPr>
              <w:t xml:space="preserve">replay without one object or one effect</w:t>
            </w:r>
          </w:p>
        </w:tc>
        <w:tc>
          <w:tcPr>
            <w:tcW w:w="1000" w:type="dxa"/>
          </w:tcPr>
          <w:p w14:paraId="516CF367" w14:textId="77777777" w:rsidR="00FF0CB1" w:rsidRDefault="00DB0B75">
            <w:pPr>
              <w:keepNext/>
              <w:spacing w:line="220" w:lineRule="auto"/>
              <w:jc w:val="center"/>
            </w:pPr>
            <w:r>
              <w:rPr>
                <w:sz w:val="18"/>
              </w:rPr>
              <w:t xml:space="preserve">replay</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56 aggregate comparisons, the main comparison and every row of Tables VII and VIII,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VII and VIII carry unadjusted 95% intervals; the last column of each gives the Holm-adjusted p, under which 51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VI carries that row beside the nominal one.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the record of admitted objects as doctrine within the incident, not the search alone, carries the gain.</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 xml:space="preserve">Search and robustness comparisons (unadjusted 95% half-widths; p Holm-adjusted over the family of 56)</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0.90</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0.75, replay</w:t>
            </w:r>
          </w:p>
        </w:tc>
        <w:tc>
          <w:tcPr>
            <w:tcW w:w="1100" w:type="dxa"/>
          </w:tcPr>
          <w:p w14:paraId="77BDD617" w14:textId="77777777" w:rsidR="00CB2143" w:rsidRDefault="00CB2143" w:rsidP="00074B69">
            <w:pPr>
              <w:keepNext/>
              <w:spacing w:line="220" w:lineRule="auto"/>
              <w:jc w:val="center"/>
            </w:pPr>
            <w:r>
              <w:rPr>
                <w:sz w:val="18"/>
              </w:rPr>
              <w:t xml:space="preserve">−55 ± 13</w:t>
            </w:r>
          </w:p>
        </w:tc>
        <w:tc>
          <w:tcPr>
            <w:tcW w:w="1100" w:type="dxa"/>
          </w:tcPr>
          <w:p w14:paraId="48CB2B16" w14:textId="77777777" w:rsidR="00CB2143" w:rsidRDefault="00CB2143" w:rsidP="00074B69">
            <w:pPr>
              <w:keepNext/>
              <w:spacing w:line="220" w:lineRule="auto"/>
              <w:jc w:val="center"/>
            </w:pPr>
            <w:r>
              <w:rPr>
                <w:sz w:val="18"/>
              </w:rPr>
              <w:t xml:space="preserve">−43 ± 9</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0.50, replay</w:t>
            </w:r>
          </w:p>
        </w:tc>
        <w:tc>
          <w:tcPr>
            <w:tcW w:w="1100" w:type="dxa"/>
          </w:tcPr>
          <w:p w14:paraId="77BDD617" w14:textId="77777777" w:rsidR="00CB2143" w:rsidRDefault="00CB2143" w:rsidP="00074B69">
            <w:pPr>
              <w:keepNext/>
              <w:spacing w:line="220" w:lineRule="auto"/>
              <w:jc w:val="center"/>
            </w:pPr>
            <w:r>
              <w:rPr>
                <w:sz w:val="18"/>
              </w:rPr>
              <w:t xml:space="preserve">−46 ± 12</w:t>
            </w:r>
          </w:p>
        </w:tc>
        <w:tc>
          <w:tcPr>
            <w:tcW w:w="1100" w:type="dxa"/>
          </w:tcPr>
          <w:p w14:paraId="48CB2B16" w14:textId="77777777" w:rsidR="00CB2143" w:rsidRDefault="00CB2143" w:rsidP="00074B69">
            <w:pPr>
              <w:keepNext/>
              <w:spacing w:line="220" w:lineRule="auto"/>
              <w:jc w:val="center"/>
            </w:pPr>
            <w:r>
              <w:rPr>
                <w:sz w:val="18"/>
              </w:rPr>
              <w:t xml:space="preserve">−35 ± 8</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0.25, replay</w:t>
            </w:r>
          </w:p>
        </w:tc>
        <w:tc>
          <w:tcPr>
            <w:tcW w:w="1100" w:type="dxa"/>
          </w:tcPr>
          <w:p w14:paraId="77BDD617" w14:textId="77777777" w:rsidR="00CB2143" w:rsidRDefault="00CB2143" w:rsidP="00074B69">
            <w:pPr>
              <w:keepNext/>
              <w:spacing w:line="220" w:lineRule="auto"/>
              <w:jc w:val="center"/>
            </w:pPr>
            <w:r>
              <w:rPr>
                <w:sz w:val="18"/>
              </w:rPr>
              <w:t xml:space="preserve">−31 ± 9</w:t>
            </w:r>
          </w:p>
        </w:tc>
        <w:tc>
          <w:tcPr>
            <w:tcW w:w="1100" w:type="dxa"/>
          </w:tcPr>
          <w:p w14:paraId="48CB2B16" w14:textId="77777777" w:rsidR="00CB2143" w:rsidRDefault="00CB2143" w:rsidP="00074B69">
            <w:pPr>
              <w:keepNext/>
              <w:spacing w:line="220" w:lineRule="auto"/>
              <w:jc w:val="center"/>
            </w:pPr>
            <w:r>
              <w:rPr>
                <w:sz w:val="18"/>
              </w:rPr>
              <w:t xml:space="preserve">−22 ± 6</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 replay</w:t>
            </w:r>
          </w:p>
        </w:tc>
        <w:tc>
          <w:tcPr>
            <w:tcW w:w="1100" w:type="dxa"/>
          </w:tcPr>
          <w:p w14:paraId="77BDD617" w14:textId="77777777" w:rsidR="00CB2143" w:rsidRDefault="00CB2143" w:rsidP="00074B69">
            <w:pPr>
              <w:keepNext/>
              <w:spacing w:line="220" w:lineRule="auto"/>
              <w:jc w:val="center"/>
            </w:pPr>
            <w:r>
              <w:rPr>
                <w:sz w:val="18"/>
              </w:rPr>
              <w:t xml:space="preserve">−31 ± 10</w:t>
            </w:r>
          </w:p>
        </w:tc>
        <w:tc>
          <w:tcPr>
            <w:tcW w:w="1100" w:type="dxa"/>
          </w:tcPr>
          <w:p w14:paraId="48CB2B16" w14:textId="77777777" w:rsidR="00CB2143" w:rsidRDefault="00CB2143" w:rsidP="00074B69">
            <w:pPr>
              <w:keepNext/>
              <w:spacing w:line="220" w:lineRule="auto"/>
              <w:jc w:val="center"/>
            </w:pPr>
            <w:r>
              <w:rPr>
                <w:sz w:val="18"/>
              </w:rPr>
              <w:t xml:space="preserve">−21 ± 6</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Perturbed fire state, brief included</w:t>
            </w:r>
          </w:p>
        </w:tc>
        <w:tc>
          <w:tcPr>
            <w:tcW w:w="1100" w:type="dxa"/>
          </w:tcPr>
          <w:p w14:paraId="22D3948B" w14:textId="77777777" w:rsidR="00CB2143" w:rsidRDefault="00CB2143" w:rsidP="00074B69">
            <w:pPr>
              <w:spacing w:line="220" w:lineRule="auto"/>
              <w:jc w:val="center"/>
            </w:pPr>
            <w:r>
              <w:rPr>
                <w:sz w:val="18"/>
              </w:rPr>
              <w:t xml:space="preserve">−55 ± 12</w:t>
            </w:r>
          </w:p>
        </w:tc>
        <w:tc>
          <w:tcPr>
            <w:tcW w:w="1100" w:type="dxa"/>
          </w:tcPr>
          <w:p w14:paraId="29F66513" w14:textId="77777777" w:rsidR="00CB2143" w:rsidRDefault="00CB2143" w:rsidP="00074B69">
            <w:pPr>
              <w:spacing w:line="220" w:lineRule="auto"/>
              <w:jc w:val="center"/>
            </w:pPr>
            <w:r>
              <w:rPr>
                <w:sz w:val="18"/>
              </w:rPr>
              <w:t xml:space="preserve">−43 ± 8</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S5 with corrupted brief, 30 worlds</w:t>
            </w:r>
          </w:p>
        </w:tc>
        <w:tc>
          <w:tcPr>
            <w:tcW w:w="1100" w:type="dxa"/>
          </w:tcPr>
          <w:p w14:paraId="22D3948B" w14:textId="77777777" w:rsidR="00CB2143" w:rsidRDefault="00CB2143" w:rsidP="00074B69">
            <w:pPr>
              <w:spacing w:line="220" w:lineRule="auto"/>
              <w:jc w:val="center"/>
            </w:pPr>
            <w:r>
              <w:rPr>
                <w:sz w:val="18"/>
              </w:rPr>
              <w:t xml:space="preserve">−53 ± 16</w:t>
            </w:r>
          </w:p>
        </w:tc>
        <w:tc>
          <w:tcPr>
            <w:tcW w:w="1100" w:type="dxa"/>
          </w:tcPr>
          <w:p w14:paraId="29F66513" w14:textId="77777777" w:rsidR="00CB2143" w:rsidRDefault="00CB2143" w:rsidP="00074B69">
            <w:pPr>
              <w:spacing w:line="220" w:lineRule="auto"/>
              <w:jc w:val="center"/>
            </w:pPr>
            <w:r>
              <w:rPr>
                <w:sz w:val="18"/>
              </w:rPr>
              <w:t xml:space="preserve">−44 ± 14</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 xml:space="preserve">Coating priced and reach-limited</w:t>
            </w:r>
          </w:p>
        </w:tc>
        <w:tc>
          <w:tcPr>
            <w:tcW w:w="1100" w:type="dxa"/>
          </w:tcPr>
          <w:p w14:paraId="538FBBD5" w14:textId="77777777" w:rsidR="00CB2143" w:rsidRDefault="00CB2143" w:rsidP="00074B69">
            <w:pPr>
              <w:spacing w:line="220" w:lineRule="auto"/>
              <w:jc w:val="center"/>
            </w:pPr>
            <w:r>
              <w:rPr>
                <w:sz w:val="18"/>
              </w:rPr>
              <w:t xml:space="preserve">−54 ± 13</w:t>
            </w:r>
          </w:p>
        </w:tc>
        <w:tc>
          <w:tcPr>
            <w:tcW w:w="1100" w:type="dxa"/>
          </w:tcPr>
          <w:p w14:paraId="4C25B6EA" w14:textId="77777777" w:rsidR="00CB2143" w:rsidRDefault="00CB2143" w:rsidP="00074B69">
            <w:pPr>
              <w:spacing w:line="220" w:lineRule="auto"/>
              <w:jc w:val="center"/>
            </w:pPr>
            <w:r>
              <w:rPr>
                <w:sz w:val="18"/>
              </w:rPr>
              <w:t xml:space="preserve">−41 ± 10</w:t>
            </w:r>
          </w:p>
        </w:tc>
        <w:tc>
          <w:tcPr>
            <w:tcW w:w="1053" w:type="dxa"/>
          </w:tcPr>
          <w:p w14:paraId="5DE7155C" w14:textId="77777777" w:rsidR="00CB2143" w:rsidRDefault="00CB2143" w:rsidP="00074B69">
            <w:pPr>
              <w:spacing w:line="220" w:lineRule="auto"/>
              <w:jc w:val="center"/>
            </w:pPr>
            <w:r>
              <w:rPr>
                <w:sz w:val="18"/>
              </w:rPr>
              <w:t xml:space="preserve">&lt;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VII,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4 ± 7%, no better than the tactics as written (p = 0.30 unadjusted); the forecast prefers the weakest variant in three quarters of the choices, and a tuned tactic enters one cycle after the written one.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56)</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−4 ± 7</w:t>
            </w:r>
          </w:p>
        </w:tc>
        <w:tc>
          <w:tcPr>
            <w:tcW w:w="780" w:type="dxa"/>
            <w:vAlign w:val="center"/>
          </w:tcPr>
          <w:p w14:paraId="79EBE2CB" w14:textId="77777777" w:rsidR="00284E68" w:rsidRDefault="00284E68" w:rsidP="00652ECC">
            <w:pPr>
              <w:keepNext/>
              <w:spacing w:line="220" w:lineRule="auto"/>
              <w:jc w:val="center"/>
            </w:pPr>
            <w:r>
              <w:rPr>
                <w:sz w:val="18"/>
              </w:rPr>
              <w:t xml:space="preserve">−1 ± 5</w:t>
            </w:r>
          </w:p>
        </w:tc>
        <w:tc>
          <w:tcPr>
            <w:tcW w:w="800" w:type="dxa"/>
            <w:vAlign w:val="center"/>
          </w:tcPr>
          <w:p w14:paraId="696872FD" w14:textId="77777777" w:rsidR="00284E68" w:rsidRDefault="00284E68" w:rsidP="00652ECC">
            <w:pPr>
              <w:keepNext/>
              <w:spacing w:line="220" w:lineRule="auto"/>
              <w:jc w:val="center"/>
            </w:pPr>
            <w:r>
              <w:rPr>
                <w:sz w:val="18"/>
              </w:rPr>
              <w:t xml:space="preserve">0.90</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0.90</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0.0009</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the record of admitted objects as doctrine within the incident is necessary, since withdrawing each object after one cycle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VII rather than calibrated on observed operations; and the hand-written tactics of Table IV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