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Decision Support Architecture With a Verified Open Decision Space for Wildfire Response</w:t>
      </w:r>
    </w:p>
    <w:p>
      <w:pPr>
        <w:pStyle w:val="Heading1"/>
      </w:pPr>
      <w:r>
        <w:t>Five decision questions</w:t>
      </w:r>
    </w:p>
    <w:p>
      <w:r>
        <w:t>The rules translate five assessments of a fire incident into intervention requests. They are hand-written design choices based on the observed threat, exposed assets, resource access and availability, elapsed time, and evacuation access. These inputs are summarized by five decision concepts, each answering an operational question.</w:t>
      </w:r>
    </w:p>
    <w:p>
      <w:r>
        <w:rPr>
          <w:b/>
        </w:rPr>
        <w:t>Fire threat level</w:t>
      </w:r>
      <w:r>
        <w:t xml:space="preserve"> asks how serious the fire threat is. It combines fire severity, spread hazard, and fuel hazard, drawing on fire intensity, spread potential, weather severity, ignition proximity, and fuel load.</w:t>
      </w:r>
    </w:p>
    <w:p>
      <w:r>
        <w:rPr>
          <w:b/>
        </w:rPr>
        <w:t>Asset exposure risk</w:t>
      </w:r>
      <w:r>
        <w:t xml:space="preserve"> asks how exposed the assets are to the developing fire. It combines spread hazard with asset exposure, so the response reflects both the spread conditions and the assets at risk.</w:t>
      </w:r>
    </w:p>
    <w:p>
      <w:r>
        <w:rPr>
          <w:b/>
        </w:rPr>
        <w:t>Suppression feasibility</w:t>
      </w:r>
      <w:r>
        <w:t xml:space="preserve"> asks whether available resources can reach and support suppression. It combines crew reachability and logistics support, using resource accessibility, road status, and suppression availability.</w:t>
      </w:r>
    </w:p>
    <w:p>
      <w:r>
        <w:rPr>
          <w:b/>
        </w:rPr>
        <w:t>Intervention urgency</w:t>
      </w:r>
      <w:r>
        <w:t xml:space="preserve"> asks how urgently action is needed. It combines fire threat, asset exposure risk, and the time elapsed since ignition.</w:t>
      </w:r>
    </w:p>
    <w:p>
      <w:r>
        <w:rPr>
          <w:b/>
        </w:rPr>
        <w:t>Evacuation pressure</w:t>
      </w:r>
      <w:r>
        <w:t xml:space="preserve"> asks how strongly the situation calls for evacuation. It combines asset exposure risk, reduced road access for leaving the area, and the time elapsed since ignition.</w:t>
      </w:r>
    </w:p>
    <w:p>
      <w:pPr>
        <w:pStyle w:val="Heading1"/>
      </w:pPr>
      <w:r>
        <w:t>Rule form</w:t>
      </w:r>
    </w:p>
    <w:p>
      <w:r>
        <w:t>Each rule combines one to three of these concepts using the linguistic terms very low, low, medium, high, and very high. Its form is:</w:t>
      </w:r>
    </w:p>
    <w:p>
      <w:pPr>
        <w:ind w:left="216"/>
      </w:pPr>
      <w:r>
        <w:rPr>
          <w:i/>
        </w:rPr>
        <w:t>IF the stated concept conditions hold, THEN request the stated intervention intensities.</w:t>
      </w:r>
    </w:p>
    <w:p>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pPr>
        <w:pStyle w:val="Heading1"/>
        <w:pageBreakBefore/>
      </w:pPr>
      <w:r>
        <w:t>Five seed rules</w:t>
      </w:r>
    </w:p>
    <w:p>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r>
        <w:t>R1 supplies the strongest suppression request when fire threat is very high, with resource deployment in support. R2 supplies the strongest deployment request when intervention urgency is very high. R3 supplies the strongest containment-line request when threat is very high and suppression feasibility is very low, together with evacuation and warning. R4 supplies the strongest asset-protection request under very high asset exposure and low suppression feasibility. R5 combines the strongest evacuation and public-warning requests when evacuation pressure is very high and suppression feasibility is very low.</w:t>
      </w:r>
    </w:p>
    <w:p>
      <w:pPr>
        <w:pStyle w:val="Caption"/>
      </w:pPr>
      <w:r>
        <w:t>Table S1. The five seed rules.</w:t>
      </w:r>
    </w:p>
    <w:tbl>
      <w:tblPr>
        <w:tblW w:type="dxa" w:w="997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644"/>
        <w:gridCol w:w="4608"/>
      </w:tblGrid>
      <w:tr>
        <w:trPr>
          <w:tblHeader/>
          <w:cantSplit/>
        </w:trPr>
        <w:tc>
          <w:tcPr>
            <w:tcW w:type="dxa" w:w="720"/>
            <w:vAlign w:val="center"/>
            <w:tcMar>
              <w:top w:w="65" w:type="dxa"/>
              <w:bottom w:w="65" w:type="dxa"/>
              <w:left w:w="75" w:type="dxa"/>
              <w:right w:w="75" w:type="dxa"/>
            </w:tcMar>
            <w:shd w:fill="E7E6E6"/>
          </w:tcPr>
          <w:p>
            <w:pPr>
              <w:spacing w:before="0" w:after="0" w:line="240" w:lineRule="auto"/>
              <w:jc w:val="center"/>
            </w:pPr>
            <w:r>
              <w:rPr>
                <w:rFonts w:ascii="Times New Roman" w:hAnsi="Times New Roman"/>
                <w:b/>
                <w:color w:val="000000"/>
                <w:sz w:val="18"/>
              </w:rPr>
              <w:t>Rule</w:t>
            </w:r>
          </w:p>
        </w:tc>
        <w:tc>
          <w:tcPr>
            <w:tcW w:type="dxa" w:w="4644"/>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Antecedent</w:t>
            </w:r>
          </w:p>
        </w:tc>
        <w:tc>
          <w:tcPr>
            <w:tcW w:type="dxa" w:w="4608"/>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Consequent</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1, 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intervention urgency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1</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high AND suppression feasibility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0.9, evacuation 0.6, public warning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very high AND 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0.9, containment line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very high AND suppression feasibility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1, public warning 1, resource deployment 0.7</w:t>
            </w:r>
          </w:p>
        </w:tc>
      </w:tr>
    </w:tbl>
    <w:p>
      <w:pPr>
        <w:pStyle w:val="Heading1"/>
        <w:pageBreakBefore/>
      </w:pPr>
      <w:r>
        <w:t>Extending the five seeds to forty rules</w:t>
      </w:r>
    </w:p>
    <w:p>
      <w:r>
        <w:t>The 35 additional rules broaden the initial coverage while using the same five decision concepts and six intervention families. They add lower and intermediate response levels, combinations of threat and exposure, and situations in which limited suppression feasibility calls for containment, asset protection, or evacuation. They also provide graded deployment, warning, and evacuation responses as urgency and evacuation pressure increase.</w:t>
      </w:r>
    </w:p>
    <w:p>
      <w:r>
        <w:t>The larger base therefore represents a more detailed doctrine available before online adaptation. Forty is the resulting size of this hand-written design: the five seed rules R1 to R5 plus the 35 additional rules R6 to R40. The additional rules extend the coverage of the five operational questions without adding new concepts or intervention families.</w:t>
      </w:r>
    </w:p>
    <w:p>
      <w:pPr>
        <w:pStyle w:val="Caption"/>
      </w:pPr>
      <w:r>
        <w:t>Table S2. The 35 additional rules.</w:t>
      </w:r>
    </w:p>
    <w:tbl>
      <w:tblPr>
        <w:tblW w:type="dxa" w:w="997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644"/>
        <w:gridCol w:w="4608"/>
      </w:tblGrid>
      <w:tr>
        <w:trPr>
          <w:tblHeader/>
          <w:cantSplit/>
        </w:trPr>
        <w:tc>
          <w:tcPr>
            <w:tcW w:type="dxa" w:w="720"/>
            <w:vAlign w:val="center"/>
            <w:tcMar>
              <w:top w:w="65" w:type="dxa"/>
              <w:bottom w:w="65" w:type="dxa"/>
              <w:left w:w="75" w:type="dxa"/>
              <w:right w:w="75" w:type="dxa"/>
            </w:tcMar>
            <w:shd w:fill="E7E6E6"/>
          </w:tcPr>
          <w:p>
            <w:pPr>
              <w:spacing w:before="0" w:after="0" w:line="240" w:lineRule="auto"/>
              <w:jc w:val="center"/>
            </w:pPr>
            <w:r>
              <w:rPr>
                <w:rFonts w:ascii="Times New Roman" w:hAnsi="Times New Roman"/>
                <w:b/>
                <w:color w:val="000000"/>
                <w:sz w:val="18"/>
              </w:rPr>
              <w:t>Rule</w:t>
            </w:r>
          </w:p>
        </w:tc>
        <w:tc>
          <w:tcPr>
            <w:tcW w:type="dxa" w:w="4644"/>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Antecedent</w:t>
            </w:r>
          </w:p>
        </w:tc>
        <w:tc>
          <w:tcPr>
            <w:tcW w:type="dxa" w:w="4608"/>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Consequent</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0.8, resource deployment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 AND suppression feasibility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0.1</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high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0.9, 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 AND suppression feasibility is high AND asset exposure risk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0.6, resource deployment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high AND fire threat level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0.7, suppression effort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high AND fire threat level is high AND suppression feasibility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0.8, suppression effort 0.6, containment line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medium AND fire threat level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0.5, suppression effort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medium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0.7, evacuation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high AND asset exposure risk is very high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0.9, public warning 0.9, asset protection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medium AND fire threat level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0.8, evacuation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0.7, 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low AND asset exposure risk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0.8, asset protection 0.7, resource deployment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 AND suppression feasibility is very low AND intervention urgency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0.5, resource deployment 0.3</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medium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0.6, containment line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asset exposure risk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0.9</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high AND evacuation pressure is high AND 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1, public warning 1, containment line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very high AND intervention urgency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0.9, evacuation 0.8, resource deployment 0.9</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0.2</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0.1</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0.7</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0.9, containment line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intervention urgency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0.7</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0.3</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0.6, evacuation 0.3</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0.7, public warning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R40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1, public warning 1</w:t>
            </w:r>
          </w:p>
        </w:tc>
      </w:tr>
    </w:tbl>
    <w:p>
      <w:pPr>
        <w:pStyle w:val="Heading1"/>
      </w:pPr>
      <w:r>
        <w:t>Fixed adjustments to intervention intensities</w:t>
      </w:r>
    </w:p>
    <w:p>
      <w:r>
        <w:t>Six rules also apply fixed adjustments after the family outputs are aggregated. Let w be the firing strength of the relevant rule and u the aggregated intensity. A cap c gives u ← min(u, cw + u(1 − w)); a raise d gives u ← min(1, u + dw); a scaling s gives u ← min(1, u(1 + (s − 1)w)) on every nonzero intensity; and withdrawal multiplies suppression effort and containment line by 1 − w. Final intensities are clipped to [0, 1].</w:t>
      </w:r>
    </w:p>
    <w:p>
      <w:r>
        <w:t>The adjustments are applied in the following order: R5 withdraws suppression effort and containment line; R31 caps suppression effort at 0.2 and raises evacuation by 0.25; R32 caps suppression effort at 0.4; R34 raises suppression effort by 0.25; R36 scales active intensities by 1.2; and R40 withdraws suppression effort and containment line. These fixed calculations act on the same six families and are applied automatically according to rule firing strength.</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color w:val="000000"/>
      <w:sz w:val="20"/>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cstheme="majorBidi" w:ascii="Times New Roman" w:hAnsi="Times New Roman" w:eastAsia="Times New Roman"/>
      <w:b/>
      <w:bCs/>
      <w:color w:val="000000"/>
      <w:sz w:val="22"/>
      <w:szCs w:val="28"/>
      <w:u w:val="none"/>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ascii="Times New Roman" w:hAnsi="Times New Roman"/>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ascii="Times New Roman" w:hAnsi="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b/>
      <w:bCs/>
      <w:i w:val="0"/>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2026-10-25T20:31:09Z</dcterms:modified>
  <cp:category/>
</cp:coreProperties>
</file>