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t>
      </w:r>
      <w:proofErr w:type="gramStart"/>
      <w:r w:rsidRPr="0039420F">
        <w:rPr>
          <w:lang w:val="en-US"/>
        </w:rPr>
        <w:t>With</w:t>
      </w:r>
      <w:proofErr w:type="gramEnd"/>
      <w:r w:rsidRPr="0039420F">
        <w:rPr>
          <w:lang w:val="en-US"/>
        </w:rPr>
        <w:t xml:space="preserve"> a Verified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w:t>
      </w:r>
      <w:proofErr w:type="spellStart"/>
      <w:r w:rsidRPr="0039420F">
        <w:rPr>
          <w:lang w:val="en-US"/>
        </w:rPr>
        <w:t>Sugeno</w:t>
      </w:r>
      <w:proofErr w:type="spellEnd"/>
      <w:r w:rsidRPr="0039420F">
        <w:rPr>
          <w:lang w:val="en-US"/>
        </w:rPr>
        <w:t xml:space="preserve">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VODA lowers burned area by 61%, affected population by 80% and priced response by 46% against the closed layer, and raises the share of extinguished incidents from 52% to 91%. </w:t>
      </w:r>
      <w:del w:id="950072" w:author="Claude" w:date="2026-10-29T18:30:00Z">
        <w:r>
          <w:rPr>
            <w:lang w:val="en-US"/>
          </w:rPr>
          <w:delText xml:space="preserve">A random proposer behind the same gates reaches three quarters of this gain, so the gain rests on the composed vocabulary and the forecast-guided search rather than on the particular proposer.</w:delText>
        </w:r>
      </w:del>
      <w:ins w:id="950073" w:author="Claude" w:date="2026-10-29T18:30:00Z">
        <w:r>
          <w:rPr>
            <w:lang w:val="en-US"/>
          </w:rPr>
          <w:t xml:space="preserve">A random proposer behind the same gates reaches three quarters of this gain and a hand-written doctrine over the same effects gains little, so the gain rests on the gated search rather than on the particular proposer or on access to the effects.</w:t>
        </w:r>
      </w:ins>
      <w:r>
        <w:rPr>
          <w:lang w:val="en-US"/>
        </w:rPr>
        <w:t xml:space="preserve">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del w:id="950068" w:author="Claude" w:date="2026-10-29T18:30:00Z">
        <w:r>
          <w:rPr>
            <w:lang w:val="en-US"/>
          </w:rPr>
          <w:delText xml:space="preserve">The work fits the scope of the IEEE Systems Journal as a system-of-systems contribution.</w:delText>
        </w:r>
      </w:del>
      <w:ins w:id="950069" w:author="Claude" w:date="2026-10-29T18:30:00Z">
        <w:r>
          <w:rPr>
            <w:lang w:val="en-US"/>
          </w:rPr>
          <w:t xml:space="preserve">The work fits the scope of the IEEE Systems Journal as an architecture for a system of systems.</w:t>
        </w:r>
      </w:ins>
      <w:r>
        <w:rPr>
          <w:lang w:val="en-US"/>
        </w:rPr>
        <w:t xml:space="preserve">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del w:id="950070" w:author="Claude" w:date="2026-10-29T18:30:00Z">
        <w:r>
          <w:rPr>
            <w:lang w:val="en-US"/>
          </w:rPr>
          <w:delText xml:space="preserve">A supplementary file lists the hand-written rule base used as a closed reference.</w:delText>
        </w:r>
      </w:del>
      <w:ins w:id="950071" w:author="Claude" w:date="2026-10-29T18:30:00Z">
        <w:r>
          <w:rPr>
            <w:lang w:val="en-US"/>
          </w:rPr>
          <w:t xml:space="preserve">A supplementary file gives the hand-written rule base, the extraction constants and the proposer prompt.</w:t>
        </w:r>
      </w:ins>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